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544923" w:rsidP="00EB402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06566">
        <w:rPr>
          <w:sz w:val="24"/>
          <w:szCs w:val="24"/>
        </w:rPr>
        <w:t>3</w:t>
      </w:r>
      <w:r w:rsidR="00EB4025" w:rsidRPr="00FC56AC">
        <w:rPr>
          <w:sz w:val="24"/>
          <w:szCs w:val="24"/>
        </w:rPr>
        <w:t xml:space="preserve"> </w:t>
      </w:r>
      <w:r w:rsidR="007F5416">
        <w:rPr>
          <w:sz w:val="24"/>
          <w:szCs w:val="24"/>
        </w:rPr>
        <w:t xml:space="preserve"> </w:t>
      </w:r>
      <w:r w:rsidR="00B06566">
        <w:rPr>
          <w:sz w:val="24"/>
          <w:szCs w:val="24"/>
        </w:rPr>
        <w:t xml:space="preserve"> июня</w:t>
      </w:r>
      <w:r w:rsidR="00EB4025" w:rsidRPr="00FC56AC">
        <w:rPr>
          <w:sz w:val="24"/>
          <w:szCs w:val="24"/>
        </w:rPr>
        <w:t xml:space="preserve">  201</w:t>
      </w:r>
      <w:r w:rsidR="007F5416"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544923">
        <w:rPr>
          <w:b/>
          <w:sz w:val="24"/>
          <w:szCs w:val="24"/>
        </w:rPr>
        <w:t>2</w:t>
      </w:r>
      <w:r w:rsidR="00B06566">
        <w:rPr>
          <w:b/>
          <w:sz w:val="24"/>
          <w:szCs w:val="24"/>
        </w:rPr>
        <w:t>5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 w:rsidR="007F5416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7F5416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7F5416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7F541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2018 и 2019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</w:t>
      </w:r>
      <w:proofErr w:type="spellStart"/>
      <w:r w:rsidRPr="00FC56AC">
        <w:rPr>
          <w:sz w:val="24"/>
          <w:szCs w:val="24"/>
        </w:rPr>
        <w:t>Тайшетском</w:t>
      </w:r>
      <w:proofErr w:type="spellEnd"/>
      <w:r w:rsidRPr="00FC56AC">
        <w:rPr>
          <w:sz w:val="24"/>
          <w:szCs w:val="24"/>
        </w:rPr>
        <w:t xml:space="preserve">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054F15">
        <w:rPr>
          <w:bCs/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2018 и 2019 годов</w:t>
      </w:r>
      <w:r w:rsidRPr="00FC56AC">
        <w:rPr>
          <w:sz w:val="24"/>
          <w:szCs w:val="24"/>
        </w:rPr>
        <w:t xml:space="preserve">» от </w:t>
      </w:r>
      <w:r>
        <w:rPr>
          <w:sz w:val="24"/>
          <w:szCs w:val="24"/>
        </w:rPr>
        <w:t>2</w:t>
      </w:r>
      <w:r w:rsidR="00054F15">
        <w:rPr>
          <w:sz w:val="24"/>
          <w:szCs w:val="24"/>
        </w:rPr>
        <w:t>1</w:t>
      </w:r>
      <w:r w:rsidRPr="00FC56AC">
        <w:rPr>
          <w:sz w:val="24"/>
          <w:szCs w:val="24"/>
        </w:rPr>
        <w:t>.12.201</w:t>
      </w:r>
      <w:r w:rsidR="00054F15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№1</w:t>
      </w:r>
      <w:r w:rsidR="00054F15">
        <w:rPr>
          <w:sz w:val="24"/>
          <w:szCs w:val="24"/>
        </w:rPr>
        <w:t>21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054F15" w:rsidRPr="00054F1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муниципального образования «</w:t>
      </w:r>
      <w:proofErr w:type="spellStart"/>
      <w:r w:rsidR="00054F15" w:rsidRPr="00054F15">
        <w:rPr>
          <w:sz w:val="24"/>
          <w:szCs w:val="24"/>
        </w:rPr>
        <w:t>Тайшетское</w:t>
      </w:r>
      <w:proofErr w:type="spellEnd"/>
      <w:r w:rsidR="00054F15" w:rsidRPr="00054F15">
        <w:rPr>
          <w:sz w:val="24"/>
          <w:szCs w:val="24"/>
        </w:rPr>
        <w:t xml:space="preserve"> городское поселение» на 2017 год</w:t>
      </w:r>
      <w:r w:rsidR="00AE27F7">
        <w:rPr>
          <w:sz w:val="24"/>
          <w:szCs w:val="24"/>
        </w:rPr>
        <w:t xml:space="preserve"> и на</w:t>
      </w:r>
      <w:r w:rsidR="00054F15" w:rsidRPr="00054F15">
        <w:rPr>
          <w:sz w:val="24"/>
          <w:szCs w:val="24"/>
        </w:rPr>
        <w:t xml:space="preserve"> плановый период 2018 и 2019 годов»</w:t>
      </w:r>
      <w:r w:rsidR="00054F15">
        <w:rPr>
          <w:sz w:val="24"/>
          <w:szCs w:val="24"/>
        </w:rPr>
        <w:t xml:space="preserve">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Pr="00FC56AC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D25182">
        <w:rPr>
          <w:sz w:val="24"/>
          <w:szCs w:val="24"/>
        </w:rPr>
        <w:t>2</w:t>
      </w:r>
      <w:r w:rsidR="00B06566">
        <w:rPr>
          <w:sz w:val="24"/>
          <w:szCs w:val="24"/>
        </w:rPr>
        <w:t>5</w:t>
      </w:r>
      <w:r w:rsidRPr="00FC56AC">
        <w:rPr>
          <w:sz w:val="24"/>
          <w:szCs w:val="24"/>
        </w:rPr>
        <w:t>.</w:t>
      </w:r>
      <w:r w:rsidR="00AE27F7">
        <w:rPr>
          <w:sz w:val="24"/>
          <w:szCs w:val="24"/>
        </w:rPr>
        <w:t>0</w:t>
      </w:r>
      <w:r w:rsidR="00B06566">
        <w:rPr>
          <w:sz w:val="24"/>
          <w:szCs w:val="24"/>
        </w:rPr>
        <w:t>5</w:t>
      </w:r>
      <w:r w:rsidRPr="00FC56AC">
        <w:rPr>
          <w:sz w:val="24"/>
          <w:szCs w:val="24"/>
        </w:rPr>
        <w:t>.201</w:t>
      </w:r>
      <w:r w:rsidR="00AE27F7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3</w:t>
      </w:r>
      <w:r w:rsidR="00B06566">
        <w:rPr>
          <w:sz w:val="24"/>
          <w:szCs w:val="24"/>
        </w:rPr>
        <w:t>17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городского поселения от 2</w:t>
      </w:r>
      <w:r w:rsidR="00AE27F7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>.11.201</w:t>
      </w:r>
      <w:r w:rsidR="00AE27F7">
        <w:rPr>
          <w:sz w:val="24"/>
          <w:szCs w:val="24"/>
        </w:rPr>
        <w:t>6</w:t>
      </w:r>
      <w:r w:rsidR="00AE27F7"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290</w:t>
      </w:r>
      <w:r w:rsidR="00AE27F7" w:rsidRPr="00FC56AC">
        <w:rPr>
          <w:sz w:val="24"/>
          <w:szCs w:val="24"/>
        </w:rPr>
        <w:t xml:space="preserve"> «О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AE27F7">
        <w:rPr>
          <w:sz w:val="24"/>
          <w:szCs w:val="24"/>
        </w:rPr>
        <w:t>7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2018 и 2019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1,</w:t>
      </w:r>
      <w:r w:rsidR="00054F15">
        <w:rPr>
          <w:sz w:val="24"/>
          <w:szCs w:val="24"/>
        </w:rPr>
        <w:t xml:space="preserve"> 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Pr="00FC56AC">
        <w:rPr>
          <w:color w:val="C00000"/>
          <w:sz w:val="24"/>
          <w:szCs w:val="24"/>
        </w:rPr>
        <w:t xml:space="preserve"> </w:t>
      </w:r>
      <w:r w:rsidR="00CD37FE" w:rsidRPr="00CD37FE">
        <w:rPr>
          <w:sz w:val="24"/>
          <w:szCs w:val="24"/>
        </w:rPr>
        <w:t>6,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9, 1</w:t>
      </w:r>
      <w:r w:rsidR="00054F15">
        <w:rPr>
          <w:sz w:val="24"/>
          <w:szCs w:val="24"/>
        </w:rPr>
        <w:t>3</w:t>
      </w:r>
      <w:r w:rsidR="00AD147E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, 16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A06A88">
        <w:rPr>
          <w:sz w:val="24"/>
          <w:szCs w:val="24"/>
        </w:rPr>
        <w:t>06 июня</w:t>
      </w:r>
      <w:r w:rsidRPr="00FC56AC">
        <w:rPr>
          <w:sz w:val="24"/>
          <w:szCs w:val="24"/>
        </w:rPr>
        <w:t xml:space="preserve">  201</w:t>
      </w:r>
      <w:r w:rsidR="00054F1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года. 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EB4025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ind w:firstLine="567"/>
        <w:rPr>
          <w:b/>
          <w:sz w:val="24"/>
          <w:szCs w:val="24"/>
        </w:rPr>
      </w:pPr>
    </w:p>
    <w:p w:rsidR="00EB4025" w:rsidRDefault="00EB4025" w:rsidP="00EB4025">
      <w:pPr>
        <w:ind w:firstLine="567"/>
        <w:rPr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 xml:space="preserve">на 2017 год </w:t>
      </w:r>
      <w:r w:rsidRPr="00FC56AC">
        <w:rPr>
          <w:sz w:val="24"/>
          <w:szCs w:val="24"/>
        </w:rPr>
        <w:t xml:space="preserve">путем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общего объема доходов и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6C7A93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A06A88">
        <w:rPr>
          <w:sz w:val="24"/>
          <w:szCs w:val="24"/>
        </w:rPr>
        <w:t>529217,1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больше</w:t>
      </w:r>
      <w:r w:rsidRPr="00FC56AC">
        <w:rPr>
          <w:sz w:val="24"/>
          <w:szCs w:val="24"/>
        </w:rPr>
        <w:t xml:space="preserve"> утвержденного показателя на </w:t>
      </w:r>
      <w:r w:rsidR="00A06A88">
        <w:rPr>
          <w:sz w:val="24"/>
          <w:szCs w:val="24"/>
        </w:rPr>
        <w:t>3128,4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A06A88">
        <w:rPr>
          <w:sz w:val="24"/>
          <w:szCs w:val="24"/>
        </w:rPr>
        <w:t>554095,7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A06A88">
        <w:rPr>
          <w:sz w:val="24"/>
          <w:szCs w:val="24"/>
        </w:rPr>
        <w:t>3077,0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A06A88">
        <w:rPr>
          <w:sz w:val="24"/>
          <w:szCs w:val="24"/>
        </w:rPr>
        <w:t>24878,6</w:t>
      </w:r>
      <w:r w:rsidRPr="00FC56AC">
        <w:rPr>
          <w:sz w:val="24"/>
          <w:szCs w:val="24"/>
        </w:rPr>
        <w:t xml:space="preserve"> тыс. руб.,  что составит </w:t>
      </w:r>
      <w:r w:rsidR="008A08C1">
        <w:rPr>
          <w:sz w:val="24"/>
          <w:szCs w:val="24"/>
        </w:rPr>
        <w:t>21,</w:t>
      </w:r>
      <w:r w:rsidR="00A06A88">
        <w:rPr>
          <w:sz w:val="24"/>
          <w:szCs w:val="24"/>
        </w:rPr>
        <w:t>0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6C7A93">
        <w:rPr>
          <w:sz w:val="24"/>
          <w:szCs w:val="24"/>
        </w:rPr>
        <w:t>7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23213,7 тыс. рублей и возврата субсидий из областного бюджета в размере 1845,9 тыс. рублей.</w:t>
      </w:r>
    </w:p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02520E" w:rsidRPr="003D0CDD" w:rsidRDefault="0002520E" w:rsidP="00EB4025">
      <w:pPr>
        <w:ind w:firstLine="708"/>
        <w:jc w:val="both"/>
        <w:rPr>
          <w:b/>
          <w:sz w:val="24"/>
          <w:szCs w:val="24"/>
        </w:rPr>
      </w:pPr>
    </w:p>
    <w:p w:rsidR="00B9275D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 связано с корректировкой  доходов</w:t>
      </w:r>
      <w:r w:rsidR="009110CE">
        <w:rPr>
          <w:sz w:val="24"/>
          <w:szCs w:val="24"/>
        </w:rPr>
        <w:t xml:space="preserve"> по </w:t>
      </w:r>
      <w:r w:rsidR="00A06A88">
        <w:rPr>
          <w:sz w:val="24"/>
          <w:szCs w:val="24"/>
        </w:rPr>
        <w:t xml:space="preserve">налогу на доходы физических лиц, </w:t>
      </w:r>
      <w:r w:rsidR="009A3468">
        <w:rPr>
          <w:sz w:val="24"/>
          <w:szCs w:val="24"/>
        </w:rPr>
        <w:t>доходов от компенсации затрат государства</w:t>
      </w:r>
      <w:r w:rsidR="0002520E">
        <w:rPr>
          <w:sz w:val="24"/>
          <w:szCs w:val="24"/>
        </w:rPr>
        <w:t>.</w:t>
      </w:r>
      <w:r w:rsidR="00A06A88">
        <w:rPr>
          <w:sz w:val="24"/>
          <w:szCs w:val="24"/>
        </w:rPr>
        <w:t xml:space="preserve"> Увеличение  произошло только по собственным доходам.</w:t>
      </w:r>
    </w:p>
    <w:p w:rsidR="0002520E" w:rsidRPr="00706F58" w:rsidRDefault="0002520E" w:rsidP="00EB4025">
      <w:pPr>
        <w:ind w:firstLine="708"/>
        <w:jc w:val="both"/>
        <w:rPr>
          <w:sz w:val="24"/>
          <w:szCs w:val="24"/>
        </w:rPr>
      </w:pPr>
    </w:p>
    <w:p w:rsidR="00EB4025" w:rsidRPr="008C0217" w:rsidRDefault="00EB4025" w:rsidP="00EB4025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02520E">
        <w:rPr>
          <w:sz w:val="24"/>
          <w:szCs w:val="24"/>
        </w:rPr>
        <w:t xml:space="preserve">увеличены на </w:t>
      </w:r>
      <w:r w:rsidR="00A06A88">
        <w:rPr>
          <w:sz w:val="24"/>
          <w:szCs w:val="24"/>
        </w:rPr>
        <w:t>3128,4</w:t>
      </w:r>
      <w:r w:rsidRPr="008C0217">
        <w:rPr>
          <w:sz w:val="24"/>
          <w:szCs w:val="24"/>
        </w:rPr>
        <w:t xml:space="preserve"> тыс. рублей </w:t>
      </w:r>
      <w:r w:rsidR="0002520E">
        <w:rPr>
          <w:sz w:val="24"/>
          <w:szCs w:val="24"/>
        </w:rPr>
        <w:t xml:space="preserve">  </w:t>
      </w:r>
      <w:r w:rsidRPr="008C0217">
        <w:rPr>
          <w:sz w:val="24"/>
          <w:szCs w:val="24"/>
        </w:rPr>
        <w:t>и составят</w:t>
      </w:r>
      <w:r w:rsidR="00DD116A" w:rsidRPr="008C0217">
        <w:rPr>
          <w:sz w:val="24"/>
          <w:szCs w:val="24"/>
        </w:rPr>
        <w:t xml:space="preserve"> в 201</w:t>
      </w:r>
      <w:r w:rsidR="0002520E">
        <w:rPr>
          <w:sz w:val="24"/>
          <w:szCs w:val="24"/>
        </w:rPr>
        <w:t>7</w:t>
      </w:r>
      <w:r w:rsidR="00DD116A" w:rsidRPr="008C0217">
        <w:rPr>
          <w:sz w:val="24"/>
          <w:szCs w:val="24"/>
        </w:rPr>
        <w:t xml:space="preserve"> году</w:t>
      </w:r>
      <w:r w:rsidRPr="008C0217">
        <w:rPr>
          <w:sz w:val="24"/>
          <w:szCs w:val="24"/>
        </w:rPr>
        <w:t xml:space="preserve">  </w:t>
      </w:r>
      <w:r w:rsidR="00A06A88">
        <w:rPr>
          <w:sz w:val="24"/>
          <w:szCs w:val="24"/>
        </w:rPr>
        <w:t>118553,9</w:t>
      </w:r>
      <w:r w:rsidRPr="008C0217">
        <w:rPr>
          <w:sz w:val="24"/>
          <w:szCs w:val="24"/>
        </w:rPr>
        <w:t xml:space="preserve"> тыс. рублей:</w:t>
      </w:r>
    </w:p>
    <w:p w:rsidR="00CD7197" w:rsidRPr="00277CD6" w:rsidRDefault="00CD7197" w:rsidP="00CD719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 доходы </w:t>
      </w:r>
      <w:r w:rsidR="009A3468">
        <w:rPr>
          <w:sz w:val="24"/>
          <w:szCs w:val="24"/>
        </w:rPr>
        <w:t xml:space="preserve">увеличатся на </w:t>
      </w:r>
      <w:r w:rsidR="00A06A88">
        <w:rPr>
          <w:sz w:val="24"/>
          <w:szCs w:val="24"/>
        </w:rPr>
        <w:t>3094,0</w:t>
      </w:r>
      <w:r w:rsidR="009A3468">
        <w:rPr>
          <w:sz w:val="24"/>
          <w:szCs w:val="24"/>
        </w:rPr>
        <w:t xml:space="preserve"> тыс. рублей</w:t>
      </w:r>
      <w:r w:rsidR="00A06A88">
        <w:rPr>
          <w:sz w:val="24"/>
          <w:szCs w:val="24"/>
        </w:rPr>
        <w:t xml:space="preserve"> за счет роста </w:t>
      </w:r>
      <w:r w:rsidR="000C38A4">
        <w:rPr>
          <w:sz w:val="24"/>
          <w:szCs w:val="24"/>
        </w:rPr>
        <w:t xml:space="preserve">фактического </w:t>
      </w:r>
      <w:r w:rsidR="00A06A88">
        <w:rPr>
          <w:sz w:val="24"/>
          <w:szCs w:val="24"/>
        </w:rPr>
        <w:t>поступлени</w:t>
      </w:r>
      <w:r w:rsidR="000C38A4">
        <w:rPr>
          <w:sz w:val="24"/>
          <w:szCs w:val="24"/>
        </w:rPr>
        <w:t>я</w:t>
      </w:r>
      <w:r w:rsidR="00A06A88">
        <w:rPr>
          <w:sz w:val="24"/>
          <w:szCs w:val="24"/>
        </w:rPr>
        <w:t xml:space="preserve"> </w:t>
      </w:r>
      <w:r w:rsidR="000C38A4">
        <w:rPr>
          <w:sz w:val="24"/>
          <w:szCs w:val="24"/>
        </w:rPr>
        <w:t xml:space="preserve"> </w:t>
      </w:r>
      <w:r w:rsidR="00A06A88">
        <w:rPr>
          <w:sz w:val="24"/>
          <w:szCs w:val="24"/>
        </w:rPr>
        <w:t xml:space="preserve">НДФЛ </w:t>
      </w:r>
      <w:r w:rsidR="000C38A4">
        <w:rPr>
          <w:sz w:val="24"/>
          <w:szCs w:val="24"/>
        </w:rPr>
        <w:t xml:space="preserve">на 2094,0 тыс. рублей и  налога на имущество на 1000,0 тыс. рублей </w:t>
      </w:r>
      <w:r>
        <w:rPr>
          <w:sz w:val="24"/>
          <w:szCs w:val="24"/>
        </w:rPr>
        <w:t xml:space="preserve"> и составят  </w:t>
      </w:r>
      <w:r w:rsidR="00830623">
        <w:rPr>
          <w:sz w:val="24"/>
          <w:szCs w:val="24"/>
        </w:rPr>
        <w:t>107289,8</w:t>
      </w:r>
      <w:r>
        <w:rPr>
          <w:sz w:val="24"/>
          <w:szCs w:val="24"/>
        </w:rPr>
        <w:t xml:space="preserve"> тыс. рублей,  в том числе</w:t>
      </w:r>
      <w:r w:rsidR="000C38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НДФЛ </w:t>
      </w:r>
      <w:r w:rsidR="00A06A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6A88">
        <w:rPr>
          <w:sz w:val="24"/>
          <w:szCs w:val="24"/>
        </w:rPr>
        <w:t>58764,0</w:t>
      </w:r>
      <w:r>
        <w:rPr>
          <w:sz w:val="24"/>
          <w:szCs w:val="24"/>
        </w:rPr>
        <w:t xml:space="preserve"> тыс. рублей, налог на имущество </w:t>
      </w:r>
      <w:r w:rsidR="000C38A4">
        <w:rPr>
          <w:sz w:val="24"/>
          <w:szCs w:val="24"/>
        </w:rPr>
        <w:t>8</w:t>
      </w:r>
      <w:r>
        <w:rPr>
          <w:sz w:val="24"/>
          <w:szCs w:val="24"/>
        </w:rPr>
        <w:t>600,0 тыс. рублей</w:t>
      </w:r>
      <w:r w:rsidR="009A3468">
        <w:rPr>
          <w:sz w:val="24"/>
          <w:szCs w:val="24"/>
        </w:rPr>
        <w:t>,</w:t>
      </w:r>
      <w:r>
        <w:rPr>
          <w:sz w:val="24"/>
          <w:szCs w:val="24"/>
        </w:rPr>
        <w:t xml:space="preserve">  земельный налог </w:t>
      </w:r>
      <w:r w:rsidR="009A3468">
        <w:rPr>
          <w:sz w:val="24"/>
          <w:szCs w:val="24"/>
        </w:rPr>
        <w:t>2</w:t>
      </w:r>
      <w:r w:rsidR="00830623">
        <w:rPr>
          <w:sz w:val="24"/>
          <w:szCs w:val="24"/>
        </w:rPr>
        <w:t>97</w:t>
      </w:r>
      <w:r w:rsidR="009A3468">
        <w:rPr>
          <w:sz w:val="24"/>
          <w:szCs w:val="24"/>
        </w:rPr>
        <w:t>40,0</w:t>
      </w:r>
      <w:r>
        <w:rPr>
          <w:sz w:val="24"/>
          <w:szCs w:val="24"/>
        </w:rPr>
        <w:t xml:space="preserve"> тыс. рублей, акцизы – 9806,4 тыс. рублей, налог на совокупный доход – </w:t>
      </w:r>
      <w:r w:rsidR="0097296E">
        <w:rPr>
          <w:sz w:val="24"/>
          <w:szCs w:val="24"/>
        </w:rPr>
        <w:t>379,4</w:t>
      </w:r>
      <w:r>
        <w:rPr>
          <w:sz w:val="24"/>
          <w:szCs w:val="24"/>
        </w:rPr>
        <w:t xml:space="preserve"> тыс. рублей.</w:t>
      </w:r>
      <w:proofErr w:type="gramEnd"/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0C38A4">
        <w:rPr>
          <w:sz w:val="24"/>
          <w:szCs w:val="24"/>
        </w:rPr>
        <w:t>останутся без изменений</w:t>
      </w:r>
      <w:r w:rsidR="0097296E">
        <w:rPr>
          <w:sz w:val="24"/>
          <w:szCs w:val="24"/>
        </w:rPr>
        <w:t xml:space="preserve"> и составят </w:t>
      </w:r>
      <w:r w:rsidRPr="007B43EC">
        <w:rPr>
          <w:sz w:val="24"/>
          <w:szCs w:val="24"/>
        </w:rPr>
        <w:t xml:space="preserve"> на  201</w:t>
      </w:r>
      <w:r w:rsidR="00872FA2">
        <w:rPr>
          <w:sz w:val="24"/>
          <w:szCs w:val="24"/>
        </w:rPr>
        <w:t>7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97296E">
        <w:rPr>
          <w:sz w:val="24"/>
          <w:szCs w:val="24"/>
        </w:rPr>
        <w:t>5954,3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.</w:t>
      </w:r>
      <w:r w:rsidRPr="007B43EC">
        <w:rPr>
          <w:sz w:val="24"/>
          <w:szCs w:val="24"/>
        </w:rPr>
        <w:t xml:space="preserve">  </w:t>
      </w:r>
    </w:p>
    <w:p w:rsidR="00CD7197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от реализации имущества, находящегося в собственности городских поселений </w:t>
      </w:r>
      <w:r w:rsidR="0097296E">
        <w:rPr>
          <w:sz w:val="24"/>
          <w:szCs w:val="24"/>
        </w:rPr>
        <w:t xml:space="preserve">не изменятся и </w:t>
      </w:r>
      <w:r>
        <w:rPr>
          <w:sz w:val="24"/>
          <w:szCs w:val="24"/>
        </w:rPr>
        <w:t xml:space="preserve">составят </w:t>
      </w:r>
      <w:r w:rsidR="00872FA2">
        <w:rPr>
          <w:sz w:val="24"/>
          <w:szCs w:val="24"/>
        </w:rPr>
        <w:t>3104,9</w:t>
      </w:r>
      <w:r>
        <w:rPr>
          <w:sz w:val="24"/>
          <w:szCs w:val="24"/>
        </w:rPr>
        <w:t xml:space="preserve"> тыс. рублей.</w:t>
      </w:r>
    </w:p>
    <w:p w:rsidR="00CD7197" w:rsidRPr="007B43EC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по продаже земельных участков </w:t>
      </w:r>
      <w:r>
        <w:rPr>
          <w:sz w:val="24"/>
          <w:szCs w:val="24"/>
        </w:rPr>
        <w:t>останутся без изменений</w:t>
      </w:r>
      <w:r w:rsidRPr="007B43EC">
        <w:rPr>
          <w:sz w:val="24"/>
          <w:szCs w:val="24"/>
        </w:rPr>
        <w:t xml:space="preserve">  и составят </w:t>
      </w:r>
      <w:r w:rsidR="00872FA2">
        <w:rPr>
          <w:sz w:val="24"/>
          <w:szCs w:val="24"/>
        </w:rPr>
        <w:t>1000,0</w:t>
      </w:r>
      <w:r w:rsidRPr="007B43EC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 w:rsidR="00597660"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</w:t>
      </w:r>
      <w:r w:rsidR="000C38A4">
        <w:rPr>
          <w:sz w:val="24"/>
          <w:szCs w:val="24"/>
        </w:rPr>
        <w:t>останутся без изменений</w:t>
      </w:r>
      <w:r w:rsidRPr="008C0217">
        <w:rPr>
          <w:sz w:val="24"/>
          <w:szCs w:val="24"/>
        </w:rPr>
        <w:t xml:space="preserve">  и составят </w:t>
      </w:r>
      <w:r w:rsidR="0097296E">
        <w:rPr>
          <w:sz w:val="24"/>
          <w:szCs w:val="24"/>
        </w:rPr>
        <w:t>419,3</w:t>
      </w:r>
      <w:r w:rsidRPr="008C0217">
        <w:rPr>
          <w:sz w:val="24"/>
          <w:szCs w:val="24"/>
        </w:rPr>
        <w:t xml:space="preserve"> тыс. рублей.</w:t>
      </w:r>
    </w:p>
    <w:p w:rsidR="0097296E" w:rsidRDefault="0097296E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</w:t>
      </w:r>
      <w:r w:rsidR="003426F7">
        <w:rPr>
          <w:sz w:val="24"/>
          <w:szCs w:val="24"/>
        </w:rPr>
        <w:t xml:space="preserve"> увеличатся на 3</w:t>
      </w:r>
      <w:r w:rsidR="000C38A4">
        <w:rPr>
          <w:sz w:val="24"/>
          <w:szCs w:val="24"/>
        </w:rPr>
        <w:t>4,4</w:t>
      </w:r>
      <w:r w:rsidR="003426F7">
        <w:rPr>
          <w:sz w:val="24"/>
          <w:szCs w:val="24"/>
        </w:rPr>
        <w:t xml:space="preserve"> тыс. рублей и составят </w:t>
      </w:r>
      <w:r w:rsidR="000C38A4">
        <w:rPr>
          <w:sz w:val="24"/>
          <w:szCs w:val="24"/>
        </w:rPr>
        <w:t>285,6</w:t>
      </w:r>
      <w:r w:rsidR="003426F7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C0217">
        <w:rPr>
          <w:sz w:val="24"/>
          <w:szCs w:val="24"/>
        </w:rPr>
        <w:t>00,0 тыс. рублей.</w:t>
      </w:r>
    </w:p>
    <w:p w:rsidR="00CD7197" w:rsidRDefault="00CD7197" w:rsidP="00CD7197">
      <w:pPr>
        <w:ind w:firstLine="708"/>
        <w:jc w:val="both"/>
        <w:rPr>
          <w:sz w:val="24"/>
          <w:szCs w:val="24"/>
        </w:rPr>
      </w:pPr>
    </w:p>
    <w:p w:rsidR="00CD7197" w:rsidRDefault="00CD7197" w:rsidP="00CD7197">
      <w:pPr>
        <w:ind w:firstLine="708"/>
        <w:jc w:val="both"/>
        <w:rPr>
          <w:bCs/>
          <w:sz w:val="24"/>
          <w:szCs w:val="24"/>
        </w:rPr>
      </w:pPr>
      <w:r w:rsidRPr="008C0217">
        <w:rPr>
          <w:sz w:val="24"/>
          <w:szCs w:val="24"/>
        </w:rPr>
        <w:t xml:space="preserve">2.2.2. Доходы в части безвозмездных поступлений (межбюджетные трансферты) </w:t>
      </w:r>
      <w:r w:rsidR="000C38A4">
        <w:rPr>
          <w:sz w:val="24"/>
          <w:szCs w:val="24"/>
        </w:rPr>
        <w:t xml:space="preserve">останутся без изменений </w:t>
      </w:r>
      <w:r w:rsidRPr="008C0217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и составят </w:t>
      </w:r>
      <w:r w:rsidR="00380764">
        <w:rPr>
          <w:bCs/>
          <w:sz w:val="24"/>
          <w:szCs w:val="24"/>
        </w:rPr>
        <w:t>410663,2</w:t>
      </w:r>
      <w:r>
        <w:rPr>
          <w:bCs/>
          <w:sz w:val="24"/>
          <w:szCs w:val="24"/>
        </w:rPr>
        <w:t xml:space="preserve"> тыс. рублей, в том числе:</w:t>
      </w:r>
    </w:p>
    <w:p w:rsidR="00CD7197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8C0217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- 194,6 тыс. рублей;</w:t>
      </w:r>
    </w:p>
    <w:p w:rsidR="00597660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субсидии по программе переселения граждан из аварийного жилья – </w:t>
      </w:r>
      <w:r w:rsidR="007E5CB6">
        <w:rPr>
          <w:bCs/>
          <w:sz w:val="24"/>
          <w:szCs w:val="24"/>
        </w:rPr>
        <w:t>349359,1</w:t>
      </w:r>
      <w:r>
        <w:rPr>
          <w:bCs/>
          <w:sz w:val="24"/>
          <w:szCs w:val="24"/>
        </w:rPr>
        <w:t xml:space="preserve"> тыс. рублей;</w:t>
      </w:r>
    </w:p>
    <w:p w:rsidR="00597660" w:rsidRPr="008C0217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-субсидия на строительство физкультурно-оздоровительного комплекса – 39274,1 тыс. рублей;</w:t>
      </w:r>
    </w:p>
    <w:p w:rsidR="00597660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A40D7E">
        <w:rPr>
          <w:bCs/>
          <w:sz w:val="24"/>
          <w:szCs w:val="24"/>
        </w:rPr>
        <w:t>субсидии  по Федеральной целевой программе «Жилище» на обеспечение жильем молодых семей» - 1069,8 тыс. рублей;</w:t>
      </w:r>
    </w:p>
    <w:p w:rsidR="00A40D7E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субсидии по областной целевой программе «Доступное жилье» на обеспечение жильем молодых семей – 922,0 тыс. рублей;</w:t>
      </w:r>
    </w:p>
    <w:p w:rsidR="00A40D7E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на модернизацию объектов коммунальной инфраструктуры  из областного бюджета – 20000,</w:t>
      </w:r>
      <w:r w:rsidR="007E5CB6">
        <w:rPr>
          <w:bCs/>
          <w:sz w:val="24"/>
          <w:szCs w:val="24"/>
        </w:rPr>
        <w:t>0 тыс. рублей;</w:t>
      </w:r>
    </w:p>
    <w:p w:rsidR="007E5CB6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E5CB6">
        <w:rPr>
          <w:bCs/>
          <w:sz w:val="24"/>
          <w:szCs w:val="24"/>
        </w:rPr>
        <w:t xml:space="preserve">  прочие безвозмездные поступления   МКУ «Библиотечное объединение» </w:t>
      </w:r>
      <w:proofErr w:type="gramStart"/>
      <w:r w:rsidRPr="007E5CB6">
        <w:rPr>
          <w:bCs/>
          <w:sz w:val="24"/>
          <w:szCs w:val="24"/>
        </w:rPr>
        <w:t>согласно договора</w:t>
      </w:r>
      <w:proofErr w:type="gramEnd"/>
      <w:r w:rsidRPr="007E5CB6">
        <w:rPr>
          <w:bCs/>
          <w:sz w:val="24"/>
          <w:szCs w:val="24"/>
        </w:rPr>
        <w:t xml:space="preserve"> пожертвования  -  177,8 тыс. рублей;</w:t>
      </w:r>
    </w:p>
    <w:p w:rsidR="008D3457" w:rsidRDefault="008D345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CD7197" w:rsidRPr="00C702A6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="00597660">
        <w:rPr>
          <w:bCs/>
          <w:sz w:val="24"/>
          <w:szCs w:val="24"/>
        </w:rPr>
        <w:t xml:space="preserve">озвращено из </w:t>
      </w:r>
      <w:r w:rsidR="00537035">
        <w:rPr>
          <w:bCs/>
          <w:sz w:val="24"/>
          <w:szCs w:val="24"/>
        </w:rPr>
        <w:t>местного</w:t>
      </w:r>
      <w:r>
        <w:rPr>
          <w:bCs/>
          <w:sz w:val="24"/>
          <w:szCs w:val="24"/>
        </w:rPr>
        <w:t xml:space="preserve"> </w:t>
      </w:r>
      <w:r w:rsidR="00597660">
        <w:rPr>
          <w:bCs/>
          <w:sz w:val="24"/>
          <w:szCs w:val="24"/>
        </w:rPr>
        <w:t>бюджета субсидии</w:t>
      </w:r>
      <w:r w:rsidR="008D3457">
        <w:rPr>
          <w:bCs/>
          <w:sz w:val="24"/>
          <w:szCs w:val="24"/>
        </w:rPr>
        <w:t xml:space="preserve"> прошл</w:t>
      </w:r>
      <w:r w:rsidR="00537035">
        <w:rPr>
          <w:bCs/>
          <w:sz w:val="24"/>
          <w:szCs w:val="24"/>
        </w:rPr>
        <w:t>ого года  по переселению граждан из ветхого и аварийного жилья</w:t>
      </w:r>
      <w:r w:rsidR="008D3457">
        <w:rPr>
          <w:bCs/>
          <w:sz w:val="24"/>
          <w:szCs w:val="24"/>
        </w:rPr>
        <w:t xml:space="preserve"> </w:t>
      </w:r>
      <w:r w:rsidR="00597660">
        <w:rPr>
          <w:bCs/>
          <w:sz w:val="24"/>
          <w:szCs w:val="24"/>
        </w:rPr>
        <w:t xml:space="preserve">  -334,2 тыс. рублей.</w:t>
      </w:r>
      <w:r w:rsidR="00CD7197" w:rsidRPr="00C702A6">
        <w:rPr>
          <w:bCs/>
          <w:sz w:val="24"/>
          <w:szCs w:val="24"/>
        </w:rPr>
        <w:t xml:space="preserve"> </w:t>
      </w:r>
    </w:p>
    <w:p w:rsidR="00EB4025" w:rsidRPr="00057D5D" w:rsidRDefault="00EB4025" w:rsidP="00EB4025">
      <w:pPr>
        <w:jc w:val="both"/>
        <w:rPr>
          <w:color w:val="FF0000"/>
          <w:sz w:val="24"/>
          <w:szCs w:val="24"/>
        </w:rPr>
      </w:pPr>
    </w:p>
    <w:p w:rsidR="00872FA2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Изменение доходов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 201</w:t>
      </w:r>
      <w:r w:rsidR="00872FA2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 представлено в следующей таблице:        </w:t>
      </w:r>
    </w:p>
    <w:p w:rsidR="00EB4025" w:rsidRPr="00FC56AC" w:rsidRDefault="00EB4025" w:rsidP="00872FA2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</w:t>
      </w:r>
      <w:r w:rsidRPr="00FC56AC">
        <w:rPr>
          <w:sz w:val="24"/>
          <w:szCs w:val="24"/>
        </w:rPr>
        <w:t xml:space="preserve">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Style w:val="a4"/>
        <w:tblW w:w="9570" w:type="dxa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72FA2" w:rsidRPr="00872FA2" w:rsidTr="00DB73A2">
        <w:tc>
          <w:tcPr>
            <w:tcW w:w="2392" w:type="dxa"/>
          </w:tcPr>
          <w:p w:rsidR="00872FA2" w:rsidRPr="00441752" w:rsidRDefault="0044175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В</w:t>
            </w:r>
            <w:r w:rsidR="00872FA2" w:rsidRPr="00441752">
              <w:rPr>
                <w:sz w:val="24"/>
                <w:szCs w:val="24"/>
              </w:rPr>
              <w:t>ид доходов</w:t>
            </w:r>
          </w:p>
        </w:tc>
        <w:tc>
          <w:tcPr>
            <w:tcW w:w="2392" w:type="dxa"/>
          </w:tcPr>
          <w:p w:rsidR="00872FA2" w:rsidRPr="00441752" w:rsidRDefault="00441752" w:rsidP="0061785B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7E5CB6">
              <w:rPr>
                <w:sz w:val="24"/>
                <w:szCs w:val="24"/>
              </w:rPr>
              <w:t>2</w:t>
            </w:r>
            <w:r w:rsidR="0061785B">
              <w:rPr>
                <w:sz w:val="24"/>
                <w:szCs w:val="24"/>
              </w:rPr>
              <w:t>5</w:t>
            </w:r>
            <w:r w:rsidRPr="00441752">
              <w:rPr>
                <w:sz w:val="24"/>
                <w:szCs w:val="24"/>
              </w:rPr>
              <w:t>.</w:t>
            </w:r>
            <w:r w:rsidR="009930FC">
              <w:rPr>
                <w:sz w:val="24"/>
                <w:szCs w:val="24"/>
              </w:rPr>
              <w:t>0</w:t>
            </w:r>
            <w:r w:rsidR="0061785B">
              <w:rPr>
                <w:sz w:val="24"/>
                <w:szCs w:val="24"/>
              </w:rPr>
              <w:t>5</w:t>
            </w:r>
            <w:r w:rsidRPr="00441752">
              <w:rPr>
                <w:sz w:val="24"/>
                <w:szCs w:val="24"/>
              </w:rPr>
              <w:t>.201</w:t>
            </w:r>
            <w:r w:rsidR="009930FC">
              <w:rPr>
                <w:sz w:val="24"/>
                <w:szCs w:val="24"/>
              </w:rPr>
              <w:t>7</w:t>
            </w:r>
            <w:r w:rsidRPr="00441752">
              <w:rPr>
                <w:sz w:val="24"/>
                <w:szCs w:val="24"/>
              </w:rPr>
              <w:t xml:space="preserve"> г. №</w:t>
            </w:r>
            <w:r w:rsidR="009930FC">
              <w:rPr>
                <w:sz w:val="24"/>
                <w:szCs w:val="24"/>
              </w:rPr>
              <w:t>3</w:t>
            </w:r>
            <w:r w:rsidR="007E5CB6">
              <w:rPr>
                <w:sz w:val="24"/>
                <w:szCs w:val="24"/>
              </w:rPr>
              <w:t>1</w:t>
            </w:r>
            <w:r w:rsidR="0061785B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72FA2" w:rsidRPr="00441752" w:rsidRDefault="00441752" w:rsidP="0061785B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П</w:t>
            </w:r>
            <w:r w:rsidR="00872FA2" w:rsidRPr="00441752">
              <w:rPr>
                <w:sz w:val="24"/>
                <w:szCs w:val="24"/>
              </w:rPr>
              <w:t xml:space="preserve">роект </w:t>
            </w:r>
            <w:r w:rsidRPr="00441752">
              <w:rPr>
                <w:sz w:val="24"/>
                <w:szCs w:val="24"/>
              </w:rPr>
              <w:t xml:space="preserve">Решения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61785B">
              <w:rPr>
                <w:sz w:val="24"/>
                <w:szCs w:val="24"/>
              </w:rPr>
              <w:t>июня</w:t>
            </w:r>
            <w:r w:rsidRPr="00441752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393" w:type="dxa"/>
          </w:tcPr>
          <w:p w:rsidR="00872FA2" w:rsidRPr="00441752" w:rsidRDefault="00872FA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+;-</w:t>
            </w:r>
          </w:p>
        </w:tc>
      </w:tr>
      <w:tr w:rsidR="007E5CB6" w:rsidRPr="00872FA2" w:rsidTr="00DB73A2">
        <w:tc>
          <w:tcPr>
            <w:tcW w:w="2392" w:type="dxa"/>
          </w:tcPr>
          <w:p w:rsidR="007E5CB6" w:rsidRPr="00872FA2" w:rsidRDefault="007E5CB6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НДФЛ</w:t>
            </w:r>
          </w:p>
        </w:tc>
        <w:tc>
          <w:tcPr>
            <w:tcW w:w="2392" w:type="dxa"/>
          </w:tcPr>
          <w:p w:rsidR="007E5CB6" w:rsidRPr="00872FA2" w:rsidRDefault="007E5CB6" w:rsidP="006512FF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56670,0</w:t>
            </w:r>
          </w:p>
        </w:tc>
        <w:tc>
          <w:tcPr>
            <w:tcW w:w="2393" w:type="dxa"/>
          </w:tcPr>
          <w:p w:rsidR="007E5CB6" w:rsidRPr="00872FA2" w:rsidRDefault="007E5CB6" w:rsidP="0061785B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</w:t>
            </w:r>
            <w:r w:rsidR="0061785B">
              <w:rPr>
                <w:sz w:val="24"/>
                <w:szCs w:val="24"/>
              </w:rPr>
              <w:t>8764</w:t>
            </w:r>
            <w:r w:rsidRPr="00872FA2">
              <w:rPr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7E5CB6" w:rsidRPr="00872FA2" w:rsidRDefault="0061785B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+2094,0</w:t>
            </w:r>
          </w:p>
        </w:tc>
      </w:tr>
      <w:tr w:rsidR="007E5CB6" w:rsidRPr="00872FA2" w:rsidTr="00DB73A2">
        <w:tc>
          <w:tcPr>
            <w:tcW w:w="2392" w:type="dxa"/>
          </w:tcPr>
          <w:p w:rsidR="007E5CB6" w:rsidRPr="00872FA2" w:rsidRDefault="007E5CB6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акцизы</w:t>
            </w:r>
          </w:p>
        </w:tc>
        <w:tc>
          <w:tcPr>
            <w:tcW w:w="2392" w:type="dxa"/>
          </w:tcPr>
          <w:p w:rsidR="007E5CB6" w:rsidRPr="00872FA2" w:rsidRDefault="007E5CB6" w:rsidP="006512F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7E5CB6" w:rsidRPr="00872FA2" w:rsidRDefault="007E5CB6" w:rsidP="00000EAB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7E5CB6" w:rsidRPr="00872FA2" w:rsidRDefault="007E5CB6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5CB6" w:rsidRPr="00872FA2" w:rsidTr="00DB73A2">
        <w:tc>
          <w:tcPr>
            <w:tcW w:w="2392" w:type="dxa"/>
          </w:tcPr>
          <w:p w:rsidR="007E5CB6" w:rsidRPr="00872FA2" w:rsidRDefault="007E5CB6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налог на имущ</w:t>
            </w:r>
            <w:r>
              <w:rPr>
                <w:sz w:val="24"/>
                <w:szCs w:val="24"/>
              </w:rPr>
              <w:t>ество</w:t>
            </w:r>
          </w:p>
        </w:tc>
        <w:tc>
          <w:tcPr>
            <w:tcW w:w="2392" w:type="dxa"/>
          </w:tcPr>
          <w:p w:rsidR="007E5CB6" w:rsidRPr="00872FA2" w:rsidRDefault="007E5CB6" w:rsidP="006512FF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7600,0</w:t>
            </w:r>
          </w:p>
        </w:tc>
        <w:tc>
          <w:tcPr>
            <w:tcW w:w="2393" w:type="dxa"/>
          </w:tcPr>
          <w:p w:rsidR="007E5CB6" w:rsidRPr="00872FA2" w:rsidRDefault="0061785B" w:rsidP="00000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5CB6" w:rsidRPr="00872FA2">
              <w:rPr>
                <w:sz w:val="24"/>
                <w:szCs w:val="24"/>
              </w:rPr>
              <w:t>600,0</w:t>
            </w:r>
          </w:p>
        </w:tc>
        <w:tc>
          <w:tcPr>
            <w:tcW w:w="2393" w:type="dxa"/>
          </w:tcPr>
          <w:p w:rsidR="007E5CB6" w:rsidRPr="00872FA2" w:rsidRDefault="0061785B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+1000,0</w:t>
            </w:r>
          </w:p>
        </w:tc>
      </w:tr>
      <w:tr w:rsidR="007E5CB6" w:rsidRPr="00872FA2" w:rsidTr="00DB73A2">
        <w:tc>
          <w:tcPr>
            <w:tcW w:w="2392" w:type="dxa"/>
          </w:tcPr>
          <w:p w:rsidR="007E5CB6" w:rsidRPr="00872FA2" w:rsidRDefault="007E5CB6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2" w:type="dxa"/>
          </w:tcPr>
          <w:p w:rsidR="007E5CB6" w:rsidRPr="00872FA2" w:rsidRDefault="007E5CB6" w:rsidP="00651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7E5CB6" w:rsidRPr="00872FA2" w:rsidRDefault="007E5CB6" w:rsidP="00283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3458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40,0</w:t>
            </w:r>
          </w:p>
        </w:tc>
        <w:tc>
          <w:tcPr>
            <w:tcW w:w="2393" w:type="dxa"/>
          </w:tcPr>
          <w:p w:rsidR="007E5CB6" w:rsidRPr="00872FA2" w:rsidRDefault="007E5CB6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3537,5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3537,5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платежи от МУП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возмещение ущерба, штрафы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2393" w:type="dxa"/>
          </w:tcPr>
          <w:p w:rsidR="00283458" w:rsidRPr="00872FA2" w:rsidRDefault="00283458" w:rsidP="008C0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имущест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8C0123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имущ</w:t>
            </w:r>
            <w:r>
              <w:rPr>
                <w:sz w:val="24"/>
                <w:szCs w:val="24"/>
              </w:rPr>
              <w:t>ества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прочие неналоговые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Доходы от компенсации затрат гос-ва</w:t>
            </w:r>
          </w:p>
        </w:tc>
        <w:tc>
          <w:tcPr>
            <w:tcW w:w="2392" w:type="dxa"/>
          </w:tcPr>
          <w:p w:rsidR="00283458" w:rsidRPr="00872FA2" w:rsidRDefault="00283458" w:rsidP="00727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251,2</w:t>
            </w:r>
          </w:p>
        </w:tc>
        <w:tc>
          <w:tcPr>
            <w:tcW w:w="2393" w:type="dxa"/>
          </w:tcPr>
          <w:p w:rsidR="00283458" w:rsidRPr="00872FA2" w:rsidRDefault="00283458" w:rsidP="00C77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285,6</w:t>
            </w:r>
          </w:p>
        </w:tc>
        <w:tc>
          <w:tcPr>
            <w:tcW w:w="2393" w:type="dxa"/>
          </w:tcPr>
          <w:p w:rsidR="00283458" w:rsidRPr="00872FA2" w:rsidRDefault="00283458" w:rsidP="00283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+34,4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44175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Итого собств</w:t>
            </w:r>
            <w:r>
              <w:rPr>
                <w:b/>
                <w:sz w:val="24"/>
                <w:szCs w:val="24"/>
              </w:rPr>
              <w:t>енных доходов</w:t>
            </w:r>
          </w:p>
        </w:tc>
        <w:tc>
          <w:tcPr>
            <w:tcW w:w="2392" w:type="dxa"/>
          </w:tcPr>
          <w:p w:rsidR="00283458" w:rsidRPr="00872FA2" w:rsidRDefault="00283458" w:rsidP="00D40A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115425,5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118553,9</w:t>
            </w:r>
          </w:p>
        </w:tc>
        <w:tc>
          <w:tcPr>
            <w:tcW w:w="2393" w:type="dxa"/>
          </w:tcPr>
          <w:p w:rsidR="00283458" w:rsidRPr="00872FA2" w:rsidRDefault="00283458" w:rsidP="002834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+3128,4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4417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872FA2">
              <w:rPr>
                <w:b/>
                <w:sz w:val="24"/>
                <w:szCs w:val="24"/>
              </w:rPr>
              <w:t>езвозм</w:t>
            </w:r>
            <w:r>
              <w:rPr>
                <w:b/>
                <w:sz w:val="24"/>
                <w:szCs w:val="24"/>
              </w:rPr>
              <w:t xml:space="preserve">ездных </w:t>
            </w:r>
            <w:r w:rsidRPr="00872FA2">
              <w:rPr>
                <w:b/>
                <w:sz w:val="24"/>
                <w:szCs w:val="24"/>
              </w:rPr>
              <w:t>пост</w:t>
            </w:r>
            <w:r>
              <w:rPr>
                <w:b/>
                <w:sz w:val="24"/>
                <w:szCs w:val="24"/>
              </w:rPr>
              <w:t>уплений</w:t>
            </w:r>
          </w:p>
        </w:tc>
        <w:tc>
          <w:tcPr>
            <w:tcW w:w="2392" w:type="dxa"/>
          </w:tcPr>
          <w:p w:rsidR="00283458" w:rsidRPr="00872FA2" w:rsidRDefault="00283458" w:rsidP="00D40A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410663,2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410663,2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83458" w:rsidRPr="00872FA2" w:rsidTr="00DB73A2">
        <w:tc>
          <w:tcPr>
            <w:tcW w:w="2392" w:type="dxa"/>
          </w:tcPr>
          <w:p w:rsidR="00283458" w:rsidRPr="00872FA2" w:rsidRDefault="00283458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392" w:type="dxa"/>
          </w:tcPr>
          <w:p w:rsidR="00283458" w:rsidRPr="00872FA2" w:rsidRDefault="00283458" w:rsidP="00D40A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526088,7</w:t>
            </w:r>
          </w:p>
        </w:tc>
        <w:tc>
          <w:tcPr>
            <w:tcW w:w="2393" w:type="dxa"/>
          </w:tcPr>
          <w:p w:rsidR="00283458" w:rsidRPr="00872FA2" w:rsidRDefault="00283458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529217,1</w:t>
            </w:r>
          </w:p>
        </w:tc>
        <w:tc>
          <w:tcPr>
            <w:tcW w:w="2393" w:type="dxa"/>
          </w:tcPr>
          <w:p w:rsidR="00283458" w:rsidRPr="00872FA2" w:rsidRDefault="00283458" w:rsidP="00283458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3128,4</w:t>
            </w:r>
          </w:p>
        </w:tc>
      </w:tr>
    </w:tbl>
    <w:p w:rsidR="00EB4025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Pr="000E39EC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9248F">
        <w:rPr>
          <w:sz w:val="24"/>
          <w:szCs w:val="24"/>
        </w:rPr>
        <w:t>7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 и установленными расходными обязательствами. Расходная часть бюджета составит </w:t>
      </w:r>
      <w:r w:rsidR="00962D5D">
        <w:rPr>
          <w:sz w:val="24"/>
          <w:szCs w:val="24"/>
        </w:rPr>
        <w:t>554095,7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0D24C8" w:rsidRDefault="000D24C8" w:rsidP="00EB4025">
      <w:pPr>
        <w:ind w:firstLine="708"/>
        <w:jc w:val="both"/>
        <w:rPr>
          <w:sz w:val="24"/>
          <w:szCs w:val="24"/>
        </w:rPr>
      </w:pPr>
    </w:p>
    <w:p w:rsidR="000D24C8" w:rsidRDefault="000D24C8" w:rsidP="00EB4025">
      <w:pPr>
        <w:ind w:firstLine="708"/>
        <w:jc w:val="both"/>
        <w:rPr>
          <w:sz w:val="24"/>
          <w:szCs w:val="24"/>
        </w:rPr>
      </w:pPr>
    </w:p>
    <w:p w:rsidR="000D24C8" w:rsidRDefault="000D24C8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 xml:space="preserve">Расходы в целом </w:t>
      </w:r>
      <w:r w:rsidR="00B9248F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962D5D">
        <w:rPr>
          <w:sz w:val="24"/>
          <w:szCs w:val="24"/>
        </w:rPr>
        <w:t>3077,0</w:t>
      </w:r>
      <w:r w:rsidR="00B9248F">
        <w:rPr>
          <w:sz w:val="24"/>
          <w:szCs w:val="24"/>
        </w:rPr>
        <w:t xml:space="preserve"> тыс. рублей. </w:t>
      </w: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B4025" w:rsidRPr="00107133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>объем</w:t>
      </w:r>
      <w:r w:rsidR="00FC697C">
        <w:rPr>
          <w:sz w:val="24"/>
          <w:szCs w:val="24"/>
        </w:rPr>
        <w:t>ы</w:t>
      </w:r>
      <w:r w:rsidR="009B7006">
        <w:rPr>
          <w:sz w:val="24"/>
          <w:szCs w:val="24"/>
        </w:rPr>
        <w:t xml:space="preserve"> бюджетных ассигнований  </w:t>
      </w:r>
      <w:r w:rsidR="00962D5D">
        <w:rPr>
          <w:sz w:val="24"/>
          <w:szCs w:val="24"/>
        </w:rPr>
        <w:t>останутся без изменений</w:t>
      </w:r>
      <w:r w:rsidR="00FC697C">
        <w:rPr>
          <w:sz w:val="24"/>
          <w:szCs w:val="24"/>
        </w:rPr>
        <w:t xml:space="preserve">  и составят 57781,8 тыс. рублей.  </w:t>
      </w:r>
    </w:p>
    <w:p w:rsidR="00EB4025" w:rsidRPr="00CC6583" w:rsidRDefault="00EB4025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0B7F68" w:rsidRPr="000B7F68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9B3238">
        <w:rPr>
          <w:sz w:val="24"/>
          <w:szCs w:val="24"/>
        </w:rPr>
        <w:t xml:space="preserve">По разделу 04 «Национальная экономика» </w:t>
      </w:r>
      <w:r w:rsidR="00132E2A" w:rsidRPr="009B3238">
        <w:rPr>
          <w:sz w:val="24"/>
          <w:szCs w:val="24"/>
        </w:rPr>
        <w:t xml:space="preserve"> расходы</w:t>
      </w:r>
      <w:r w:rsidR="001E63F2">
        <w:rPr>
          <w:sz w:val="24"/>
          <w:szCs w:val="24"/>
        </w:rPr>
        <w:t xml:space="preserve"> </w:t>
      </w:r>
      <w:r w:rsidR="00370071">
        <w:rPr>
          <w:sz w:val="24"/>
          <w:szCs w:val="24"/>
        </w:rPr>
        <w:t xml:space="preserve">увеличатся </w:t>
      </w:r>
      <w:r w:rsidR="001E63F2">
        <w:rPr>
          <w:sz w:val="24"/>
          <w:szCs w:val="24"/>
        </w:rPr>
        <w:t xml:space="preserve">на </w:t>
      </w:r>
      <w:r w:rsidR="00962D5D">
        <w:rPr>
          <w:sz w:val="24"/>
          <w:szCs w:val="24"/>
        </w:rPr>
        <w:t>4124,5</w:t>
      </w:r>
      <w:r w:rsidR="001E63F2">
        <w:rPr>
          <w:sz w:val="24"/>
          <w:szCs w:val="24"/>
        </w:rPr>
        <w:t xml:space="preserve"> тыс. рублей и </w:t>
      </w:r>
      <w:r w:rsidR="00107133" w:rsidRPr="009B3238">
        <w:rPr>
          <w:sz w:val="24"/>
          <w:szCs w:val="24"/>
        </w:rPr>
        <w:t xml:space="preserve"> </w:t>
      </w:r>
      <w:r w:rsidR="00132E2A" w:rsidRPr="009B3238">
        <w:rPr>
          <w:sz w:val="24"/>
          <w:szCs w:val="24"/>
        </w:rPr>
        <w:t xml:space="preserve">составят  </w:t>
      </w:r>
      <w:r w:rsidR="00962D5D">
        <w:rPr>
          <w:sz w:val="24"/>
          <w:szCs w:val="24"/>
        </w:rPr>
        <w:t>40572,5</w:t>
      </w:r>
      <w:r w:rsidR="00132E2A" w:rsidRPr="009B3238">
        <w:rPr>
          <w:sz w:val="24"/>
          <w:szCs w:val="24"/>
        </w:rPr>
        <w:t xml:space="preserve"> тыс. рублей, т.к.  </w:t>
      </w:r>
      <w:r w:rsidR="00370071">
        <w:rPr>
          <w:sz w:val="24"/>
          <w:szCs w:val="24"/>
        </w:rPr>
        <w:t>увеличены</w:t>
      </w:r>
      <w:r w:rsidR="009B7006">
        <w:rPr>
          <w:sz w:val="24"/>
          <w:szCs w:val="24"/>
        </w:rPr>
        <w:t xml:space="preserve"> </w:t>
      </w:r>
      <w:r w:rsidR="00132E2A" w:rsidRPr="009B3238">
        <w:rPr>
          <w:sz w:val="24"/>
          <w:szCs w:val="24"/>
        </w:rPr>
        <w:t xml:space="preserve"> на </w:t>
      </w:r>
      <w:r w:rsidRPr="009B3238">
        <w:rPr>
          <w:sz w:val="24"/>
          <w:szCs w:val="24"/>
        </w:rPr>
        <w:t xml:space="preserve">  </w:t>
      </w:r>
      <w:r w:rsidR="0069368D">
        <w:rPr>
          <w:sz w:val="24"/>
          <w:szCs w:val="24"/>
        </w:rPr>
        <w:t xml:space="preserve">эту сумму </w:t>
      </w:r>
      <w:r w:rsidR="009637AB">
        <w:rPr>
          <w:sz w:val="24"/>
          <w:szCs w:val="24"/>
        </w:rPr>
        <w:t xml:space="preserve">   </w:t>
      </w:r>
      <w:r w:rsidRPr="009637AB">
        <w:rPr>
          <w:sz w:val="24"/>
          <w:szCs w:val="24"/>
        </w:rPr>
        <w:t>по подразделу 04</w:t>
      </w:r>
      <w:r w:rsidR="000B7F68">
        <w:rPr>
          <w:sz w:val="24"/>
          <w:szCs w:val="24"/>
        </w:rPr>
        <w:t xml:space="preserve"> </w:t>
      </w:r>
      <w:r w:rsidRPr="009637AB">
        <w:rPr>
          <w:sz w:val="24"/>
          <w:szCs w:val="24"/>
        </w:rPr>
        <w:t xml:space="preserve"> «Дорожные фонды»</w:t>
      </w:r>
      <w:r w:rsidR="009637AB">
        <w:rPr>
          <w:sz w:val="24"/>
          <w:szCs w:val="24"/>
        </w:rPr>
        <w:t xml:space="preserve">. </w:t>
      </w:r>
      <w:proofErr w:type="gramStart"/>
      <w:r w:rsidR="00370071">
        <w:rPr>
          <w:sz w:val="24"/>
          <w:szCs w:val="24"/>
        </w:rPr>
        <w:t>Увеличение</w:t>
      </w:r>
      <w:r w:rsidR="000B7F68">
        <w:rPr>
          <w:sz w:val="24"/>
          <w:szCs w:val="24"/>
        </w:rPr>
        <w:t xml:space="preserve"> на 4124,5</w:t>
      </w:r>
      <w:r w:rsidR="009637AB" w:rsidRPr="009637AB">
        <w:rPr>
          <w:sz w:val="24"/>
          <w:szCs w:val="24"/>
        </w:rPr>
        <w:t xml:space="preserve"> тыс. рублей </w:t>
      </w:r>
      <w:r w:rsidR="0069368D">
        <w:rPr>
          <w:sz w:val="24"/>
          <w:szCs w:val="24"/>
        </w:rPr>
        <w:t xml:space="preserve">связано </w:t>
      </w:r>
      <w:r w:rsidR="009637AB" w:rsidRPr="009637AB">
        <w:rPr>
          <w:sz w:val="24"/>
          <w:szCs w:val="24"/>
        </w:rPr>
        <w:t xml:space="preserve"> с </w:t>
      </w:r>
      <w:r w:rsidR="000B7F68">
        <w:rPr>
          <w:sz w:val="24"/>
          <w:szCs w:val="24"/>
        </w:rPr>
        <w:t>необходимостью</w:t>
      </w:r>
      <w:r w:rsidR="009637AB" w:rsidRPr="009637AB">
        <w:rPr>
          <w:sz w:val="24"/>
          <w:szCs w:val="24"/>
        </w:rPr>
        <w:t xml:space="preserve"> </w:t>
      </w:r>
      <w:r w:rsidR="004F1ABF">
        <w:rPr>
          <w:sz w:val="24"/>
          <w:szCs w:val="24"/>
        </w:rPr>
        <w:t xml:space="preserve"> </w:t>
      </w:r>
      <w:r w:rsidR="000B7F68">
        <w:rPr>
          <w:sz w:val="24"/>
          <w:szCs w:val="24"/>
        </w:rPr>
        <w:t xml:space="preserve">увеличить </w:t>
      </w:r>
      <w:r w:rsidR="004F1ABF">
        <w:rPr>
          <w:sz w:val="24"/>
          <w:szCs w:val="24"/>
        </w:rPr>
        <w:t>расход</w:t>
      </w:r>
      <w:r w:rsidR="000B7F68">
        <w:rPr>
          <w:sz w:val="24"/>
          <w:szCs w:val="24"/>
        </w:rPr>
        <w:t>ы</w:t>
      </w:r>
      <w:r w:rsidR="004F1ABF">
        <w:rPr>
          <w:sz w:val="24"/>
          <w:szCs w:val="24"/>
        </w:rPr>
        <w:t xml:space="preserve"> на </w:t>
      </w:r>
      <w:r w:rsidR="009637AB" w:rsidRPr="009637AB">
        <w:rPr>
          <w:sz w:val="24"/>
          <w:szCs w:val="24"/>
        </w:rPr>
        <w:t>мероприяти</w:t>
      </w:r>
      <w:r w:rsidR="004F1ABF">
        <w:rPr>
          <w:sz w:val="24"/>
          <w:szCs w:val="24"/>
        </w:rPr>
        <w:t>я</w:t>
      </w:r>
      <w:r w:rsidR="009637AB" w:rsidRPr="009637AB">
        <w:rPr>
          <w:sz w:val="24"/>
          <w:szCs w:val="24"/>
        </w:rPr>
        <w:t xml:space="preserve"> в рамках муниципальной программы  «Повышение безопасности дорожного движения на территории </w:t>
      </w:r>
      <w:proofErr w:type="spellStart"/>
      <w:r w:rsidR="009637AB" w:rsidRPr="009637AB">
        <w:rPr>
          <w:sz w:val="24"/>
          <w:szCs w:val="24"/>
        </w:rPr>
        <w:t>Тайшетского</w:t>
      </w:r>
      <w:proofErr w:type="spellEnd"/>
      <w:r w:rsidR="009637AB" w:rsidRPr="009637AB">
        <w:rPr>
          <w:sz w:val="24"/>
          <w:szCs w:val="24"/>
        </w:rPr>
        <w:t xml:space="preserve"> городского</w:t>
      </w:r>
      <w:r w:rsidR="00370071">
        <w:rPr>
          <w:sz w:val="24"/>
          <w:szCs w:val="24"/>
        </w:rPr>
        <w:t xml:space="preserve"> поселения на 2013-2017 годы» </w:t>
      </w:r>
      <w:r w:rsidR="000B7F68">
        <w:rPr>
          <w:sz w:val="24"/>
          <w:szCs w:val="24"/>
        </w:rPr>
        <w:t xml:space="preserve">на 3077,0 тыс. рублей на текущее содержание   </w:t>
      </w:r>
      <w:r w:rsidR="000B7F68" w:rsidRPr="000B7F68">
        <w:rPr>
          <w:sz w:val="24"/>
          <w:szCs w:val="24"/>
        </w:rPr>
        <w:t>городской улично-дорожной сети</w:t>
      </w:r>
      <w:r w:rsidR="000B7F68">
        <w:rPr>
          <w:sz w:val="24"/>
          <w:szCs w:val="24"/>
        </w:rPr>
        <w:t xml:space="preserve">  3047,0 тыс. рублей и</w:t>
      </w:r>
      <w:r w:rsidR="000B7F68" w:rsidRPr="000B7F68">
        <w:rPr>
          <w:sz w:val="24"/>
          <w:szCs w:val="24"/>
        </w:rPr>
        <w:t xml:space="preserve"> </w:t>
      </w:r>
      <w:r w:rsidR="000B7F68">
        <w:rPr>
          <w:sz w:val="24"/>
          <w:szCs w:val="24"/>
        </w:rPr>
        <w:t>о</w:t>
      </w:r>
      <w:r w:rsidR="000B7F68" w:rsidRPr="000B7F68">
        <w:rPr>
          <w:sz w:val="24"/>
          <w:szCs w:val="24"/>
        </w:rPr>
        <w:t>рганизаци</w:t>
      </w:r>
      <w:r w:rsidR="000B7F68">
        <w:rPr>
          <w:sz w:val="24"/>
          <w:szCs w:val="24"/>
        </w:rPr>
        <w:t>ю</w:t>
      </w:r>
      <w:r w:rsidR="000B7F68" w:rsidRPr="000B7F68">
        <w:rPr>
          <w:sz w:val="24"/>
          <w:szCs w:val="24"/>
        </w:rPr>
        <w:t xml:space="preserve"> ежедневного наблюдения за соблюдением  графиков движения общественного транспорта и количеством транспортных средств </w:t>
      </w:r>
      <w:r w:rsidR="000B7F68">
        <w:rPr>
          <w:sz w:val="24"/>
          <w:szCs w:val="24"/>
        </w:rPr>
        <w:t>–</w:t>
      </w:r>
      <w:r w:rsidR="000B7F68" w:rsidRPr="000B7F68">
        <w:rPr>
          <w:sz w:val="24"/>
          <w:szCs w:val="24"/>
        </w:rPr>
        <w:t xml:space="preserve"> </w:t>
      </w:r>
      <w:r w:rsidR="000B7F68">
        <w:rPr>
          <w:sz w:val="24"/>
          <w:szCs w:val="24"/>
        </w:rPr>
        <w:t>30,0</w:t>
      </w:r>
      <w:r w:rsidR="0049680B">
        <w:rPr>
          <w:sz w:val="24"/>
          <w:szCs w:val="24"/>
        </w:rPr>
        <w:t xml:space="preserve"> тыс. рублей.</w:t>
      </w:r>
      <w:proofErr w:type="gramEnd"/>
      <w:r w:rsidR="0049680B">
        <w:rPr>
          <w:sz w:val="24"/>
          <w:szCs w:val="24"/>
        </w:rPr>
        <w:t xml:space="preserve"> Кроме того, на  указанный раздел передвинуты кредиты </w:t>
      </w:r>
      <w:r w:rsidR="00D76560">
        <w:rPr>
          <w:sz w:val="24"/>
          <w:szCs w:val="24"/>
        </w:rPr>
        <w:t xml:space="preserve"> для предоставления </w:t>
      </w:r>
      <w:r w:rsidR="0049680B">
        <w:rPr>
          <w:sz w:val="24"/>
          <w:szCs w:val="24"/>
        </w:rPr>
        <w:t xml:space="preserve"> субсидии  муниципальному бюджетному учреждению «Городское хозяйство» в рамках реализации муниципальной программы «Содержание имущества казны» в сумме 247,5 тыс. рублей и муниципальной программы «Благоустройство на территории </w:t>
      </w:r>
      <w:proofErr w:type="spellStart"/>
      <w:r w:rsidR="0049680B">
        <w:rPr>
          <w:sz w:val="24"/>
          <w:szCs w:val="24"/>
        </w:rPr>
        <w:t>Тайшетского</w:t>
      </w:r>
      <w:proofErr w:type="spellEnd"/>
      <w:r w:rsidR="0049680B">
        <w:rPr>
          <w:sz w:val="24"/>
          <w:szCs w:val="24"/>
        </w:rPr>
        <w:t xml:space="preserve"> городского поселения»  в сумме 800,0 тыс. рублей.</w:t>
      </w:r>
      <w:r w:rsidR="00D76560">
        <w:rPr>
          <w:sz w:val="24"/>
          <w:szCs w:val="24"/>
        </w:rPr>
        <w:t xml:space="preserve"> Эти кредиты  в сумме 1047,5 тыс. рублей передвинуты из раздела  0503 «Благоустройство».</w:t>
      </w:r>
      <w:r w:rsidR="00443F91">
        <w:rPr>
          <w:sz w:val="24"/>
          <w:szCs w:val="24"/>
        </w:rPr>
        <w:t xml:space="preserve"> Назначение и использование средств будет осуществляться  без изменений, в рамках соответствующих   муниципальных программ.</w:t>
      </w:r>
    </w:p>
    <w:p w:rsidR="009637AB" w:rsidRPr="00F1609F" w:rsidRDefault="009637AB" w:rsidP="009637AB">
      <w:pPr>
        <w:tabs>
          <w:tab w:val="left" w:pos="0"/>
        </w:tabs>
        <w:jc w:val="both"/>
        <w:rPr>
          <w:sz w:val="24"/>
          <w:szCs w:val="24"/>
        </w:rPr>
      </w:pPr>
    </w:p>
    <w:p w:rsidR="00022387" w:rsidRPr="00F92D85" w:rsidRDefault="00EB4025" w:rsidP="005C6690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443F91">
        <w:rPr>
          <w:sz w:val="24"/>
          <w:szCs w:val="24"/>
        </w:rPr>
        <w:t>сокращены</w:t>
      </w:r>
      <w:r w:rsidR="005C6690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на сумму </w:t>
      </w:r>
      <w:r w:rsidR="00443F91">
        <w:rPr>
          <w:sz w:val="24"/>
          <w:szCs w:val="24"/>
        </w:rPr>
        <w:t>2047,5</w:t>
      </w:r>
      <w:r w:rsidR="00370071">
        <w:rPr>
          <w:sz w:val="24"/>
          <w:szCs w:val="24"/>
        </w:rPr>
        <w:t xml:space="preserve">,0 </w:t>
      </w:r>
      <w:r w:rsidR="005C6690">
        <w:rPr>
          <w:sz w:val="24"/>
          <w:szCs w:val="24"/>
        </w:rPr>
        <w:t xml:space="preserve">тыс. рублей  и составят </w:t>
      </w:r>
      <w:r w:rsidR="00443F91">
        <w:rPr>
          <w:sz w:val="24"/>
          <w:szCs w:val="24"/>
        </w:rPr>
        <w:t>387843,8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  <w:r w:rsidR="00443F91">
        <w:rPr>
          <w:sz w:val="24"/>
          <w:szCs w:val="24"/>
        </w:rPr>
        <w:t>Сокращение связано с передвижкой кредитов в сумме 1047,5 тыс. рублей на  раздел 04 «Национальная экономика»,   на раздел 08 «Культура»  в сумме 400,0 тыс. рублей  и на раздел 11 «Физическая культура и спорт» в сумме 600,0 тыс. рублей.</w:t>
      </w:r>
    </w:p>
    <w:p w:rsidR="00022387" w:rsidRPr="00F92D85" w:rsidRDefault="00022387" w:rsidP="00022387">
      <w:pPr>
        <w:pStyle w:val="a3"/>
        <w:rPr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07 «Образование» бюджетные ассигнования остаются без  изменений</w:t>
      </w:r>
      <w:r w:rsidR="00832466" w:rsidRPr="00F92D85">
        <w:rPr>
          <w:sz w:val="24"/>
          <w:szCs w:val="24"/>
        </w:rPr>
        <w:t xml:space="preserve"> и составят 58</w:t>
      </w:r>
      <w:r w:rsidR="002110B2">
        <w:rPr>
          <w:sz w:val="24"/>
          <w:szCs w:val="24"/>
        </w:rPr>
        <w:t>9</w:t>
      </w:r>
      <w:r w:rsidR="00832466" w:rsidRPr="00F92D85">
        <w:rPr>
          <w:sz w:val="24"/>
          <w:szCs w:val="24"/>
        </w:rPr>
        <w:t>,0 тыс. рублей</w:t>
      </w:r>
      <w:r w:rsidRPr="00F92D85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832466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B569F6">
        <w:rPr>
          <w:sz w:val="24"/>
          <w:szCs w:val="24"/>
        </w:rPr>
        <w:t xml:space="preserve"> увеличиваются на 400,0 тыс. рублей на проведение  культурно-массовых мероприятий в рамках муниципальной целевой программы «Сохранение и развитие культуры в </w:t>
      </w:r>
      <w:proofErr w:type="spellStart"/>
      <w:r w:rsidR="00B569F6">
        <w:rPr>
          <w:sz w:val="24"/>
          <w:szCs w:val="24"/>
        </w:rPr>
        <w:t>Тайшетском</w:t>
      </w:r>
      <w:proofErr w:type="spellEnd"/>
      <w:r w:rsidR="00B569F6">
        <w:rPr>
          <w:sz w:val="24"/>
          <w:szCs w:val="24"/>
        </w:rPr>
        <w:t xml:space="preserve"> городском поселении»  и составят </w:t>
      </w:r>
      <w:r w:rsidR="002110B2">
        <w:rPr>
          <w:sz w:val="24"/>
          <w:szCs w:val="24"/>
        </w:rPr>
        <w:t xml:space="preserve">  в сумме </w:t>
      </w:r>
      <w:r w:rsidR="00B569F6">
        <w:rPr>
          <w:sz w:val="24"/>
          <w:szCs w:val="24"/>
        </w:rPr>
        <w:t>13253,6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>, в том числе содержание библиотеки в сумме 11608,6 тыс. рублей</w:t>
      </w:r>
      <w:r w:rsidR="002110B2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утверждаются  без изменений в сумме </w:t>
      </w:r>
      <w:r w:rsidR="005A6BC2">
        <w:rPr>
          <w:sz w:val="24"/>
          <w:szCs w:val="24"/>
        </w:rPr>
        <w:t xml:space="preserve"> 9277,8</w:t>
      </w:r>
      <w:r w:rsidR="00756742" w:rsidRPr="00F92D85">
        <w:rPr>
          <w:sz w:val="24"/>
          <w:szCs w:val="24"/>
        </w:rPr>
        <w:t xml:space="preserve"> тыс. рублей</w:t>
      </w:r>
      <w:r w:rsidR="008444CC">
        <w:rPr>
          <w:sz w:val="24"/>
          <w:szCs w:val="24"/>
        </w:rPr>
        <w:t>.</w:t>
      </w:r>
    </w:p>
    <w:p w:rsidR="008444CC" w:rsidRPr="00F92D85" w:rsidRDefault="008444CC" w:rsidP="00EB4025">
      <w:pPr>
        <w:ind w:firstLine="708"/>
        <w:jc w:val="both"/>
        <w:rPr>
          <w:sz w:val="24"/>
          <w:szCs w:val="24"/>
        </w:rPr>
      </w:pPr>
    </w:p>
    <w:p w:rsidR="00EB4025" w:rsidRPr="00CC6583" w:rsidRDefault="00EB4025" w:rsidP="002110B2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8444CC">
        <w:rPr>
          <w:sz w:val="24"/>
          <w:szCs w:val="24"/>
        </w:rPr>
        <w:t xml:space="preserve">увеличиваются на сумму 600,0 тыс. рублей  на содержание стадиона «Локомотив» в рамках муниципальной программы «Развитие физической культуры и спорта на территории </w:t>
      </w:r>
      <w:proofErr w:type="spellStart"/>
      <w:r w:rsidR="008444CC">
        <w:rPr>
          <w:sz w:val="24"/>
          <w:szCs w:val="24"/>
        </w:rPr>
        <w:t>Тайшетского</w:t>
      </w:r>
      <w:proofErr w:type="spellEnd"/>
      <w:r w:rsidR="008444CC">
        <w:rPr>
          <w:sz w:val="24"/>
          <w:szCs w:val="24"/>
        </w:rPr>
        <w:t xml:space="preserve"> городского поселения»  и утверждаются </w:t>
      </w:r>
      <w:r w:rsidR="00C86156">
        <w:rPr>
          <w:sz w:val="24"/>
          <w:szCs w:val="24"/>
        </w:rPr>
        <w:t xml:space="preserve"> в сумме </w:t>
      </w:r>
      <w:r w:rsidR="002110B2">
        <w:rPr>
          <w:sz w:val="24"/>
          <w:szCs w:val="24"/>
        </w:rPr>
        <w:t xml:space="preserve"> </w:t>
      </w:r>
      <w:r w:rsidR="007344A6">
        <w:rPr>
          <w:sz w:val="24"/>
          <w:szCs w:val="24"/>
        </w:rPr>
        <w:t>44</w:t>
      </w:r>
      <w:r w:rsidR="008444CC">
        <w:rPr>
          <w:sz w:val="24"/>
          <w:szCs w:val="24"/>
        </w:rPr>
        <w:t>7</w:t>
      </w:r>
      <w:r w:rsidR="007344A6">
        <w:rPr>
          <w:sz w:val="24"/>
          <w:szCs w:val="24"/>
        </w:rPr>
        <w:t>77,2 тыс. рублей</w:t>
      </w:r>
      <w:r w:rsidR="008444CC">
        <w:rPr>
          <w:sz w:val="24"/>
          <w:szCs w:val="24"/>
        </w:rPr>
        <w:t>, в том числе</w:t>
      </w:r>
      <w:r w:rsidR="0048505B">
        <w:rPr>
          <w:sz w:val="24"/>
          <w:szCs w:val="24"/>
        </w:rPr>
        <w:t xml:space="preserve"> на</w:t>
      </w:r>
      <w:r w:rsidR="008444CC">
        <w:rPr>
          <w:sz w:val="24"/>
          <w:szCs w:val="24"/>
        </w:rPr>
        <w:t xml:space="preserve"> строительство </w:t>
      </w:r>
      <w:proofErr w:type="spellStart"/>
      <w:r w:rsidR="008444CC">
        <w:rPr>
          <w:sz w:val="24"/>
          <w:szCs w:val="24"/>
        </w:rPr>
        <w:t>ФОКа</w:t>
      </w:r>
      <w:proofErr w:type="spellEnd"/>
      <w:r w:rsidR="008444CC">
        <w:rPr>
          <w:sz w:val="24"/>
          <w:szCs w:val="24"/>
        </w:rPr>
        <w:t xml:space="preserve">  - 41341,2 тыс. рублей</w:t>
      </w:r>
      <w:r w:rsidR="007344A6">
        <w:rPr>
          <w:sz w:val="24"/>
          <w:szCs w:val="24"/>
        </w:rPr>
        <w:t>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AD34C4" w:rsidRDefault="00EB4025" w:rsidP="00CF3BF0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</w:p>
    <w:p w:rsidR="00AD34C4" w:rsidRDefault="00AD34C4" w:rsidP="00CF3BF0">
      <w:pPr>
        <w:tabs>
          <w:tab w:val="left" w:pos="1110"/>
        </w:tabs>
        <w:jc w:val="both"/>
        <w:rPr>
          <w:color w:val="000000"/>
          <w:sz w:val="24"/>
          <w:szCs w:val="24"/>
        </w:rPr>
      </w:pPr>
    </w:p>
    <w:p w:rsidR="00EB4025" w:rsidRDefault="00AD34C4" w:rsidP="00CF3BF0">
      <w:pPr>
        <w:tabs>
          <w:tab w:val="left" w:pos="111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EB4025" w:rsidRPr="00FC56AC">
        <w:rPr>
          <w:color w:val="000000"/>
          <w:sz w:val="24"/>
          <w:szCs w:val="24"/>
        </w:rPr>
        <w:t xml:space="preserve"> Динамика</w:t>
      </w:r>
      <w:r w:rsidR="00EB4025" w:rsidRPr="00FC56AC">
        <w:rPr>
          <w:sz w:val="24"/>
          <w:szCs w:val="24"/>
        </w:rPr>
        <w:t xml:space="preserve"> изменений по распределению бюджетных ассигнований  в 201</w:t>
      </w:r>
      <w:r w:rsidR="007344A6"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году представлена в следующей таблице:             </w:t>
      </w:r>
    </w:p>
    <w:p w:rsidR="000D24C8" w:rsidRDefault="000D24C8" w:rsidP="00EB4025">
      <w:pPr>
        <w:jc w:val="right"/>
        <w:rPr>
          <w:sz w:val="24"/>
          <w:szCs w:val="24"/>
        </w:rPr>
      </w:pPr>
    </w:p>
    <w:p w:rsidR="000D24C8" w:rsidRDefault="000D24C8" w:rsidP="00EB4025">
      <w:pPr>
        <w:jc w:val="right"/>
        <w:rPr>
          <w:sz w:val="24"/>
          <w:szCs w:val="24"/>
        </w:rPr>
      </w:pPr>
    </w:p>
    <w:p w:rsidR="00EB4025" w:rsidRPr="00FC56AC" w:rsidRDefault="00EB4025" w:rsidP="00EB4025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9"/>
        <w:gridCol w:w="696"/>
        <w:gridCol w:w="1503"/>
        <w:gridCol w:w="1676"/>
        <w:gridCol w:w="1177"/>
      </w:tblGrid>
      <w:tr w:rsidR="003370A2" w:rsidRPr="001E256D" w:rsidTr="007E73D6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025" w:rsidRPr="001E256D" w:rsidRDefault="00EB4025" w:rsidP="0002238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Раздел затрат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F41855">
            <w:pPr>
              <w:spacing w:after="240"/>
              <w:jc w:val="both"/>
              <w:rPr>
                <w:sz w:val="24"/>
                <w:szCs w:val="24"/>
              </w:rPr>
            </w:pPr>
            <w:r w:rsidRPr="007B292F">
              <w:t>Решение Думы о бюджет</w:t>
            </w:r>
            <w:r w:rsidR="00CC6583" w:rsidRPr="007B292F">
              <w:t>е</w:t>
            </w:r>
            <w:r w:rsidRPr="007B292F">
              <w:t xml:space="preserve"> от 2</w:t>
            </w:r>
            <w:r w:rsidR="00F41855">
              <w:t>5</w:t>
            </w:r>
            <w:r w:rsidRPr="007B292F">
              <w:t>.</w:t>
            </w:r>
            <w:r w:rsidR="006B2DEA" w:rsidRPr="007B292F">
              <w:t>0</w:t>
            </w:r>
            <w:r w:rsidR="00F41855">
              <w:t>5</w:t>
            </w:r>
            <w:r w:rsidRPr="007B292F">
              <w:t>.201</w:t>
            </w:r>
            <w:r w:rsidR="007B292F" w:rsidRPr="007B292F">
              <w:t>7</w:t>
            </w:r>
            <w:r w:rsidRPr="007B292F">
              <w:t xml:space="preserve"> г. </w:t>
            </w:r>
            <w:r w:rsidR="00AD34C4">
              <w:t xml:space="preserve"> </w:t>
            </w:r>
            <w:r w:rsidRPr="007B292F">
              <w:t xml:space="preserve">№ </w:t>
            </w:r>
            <w:r w:rsidR="006B2DEA" w:rsidRPr="007B292F">
              <w:t>3</w:t>
            </w:r>
            <w:r w:rsidR="007B292F" w:rsidRPr="007B292F">
              <w:t>1</w:t>
            </w:r>
            <w:r w:rsidR="00F41855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AD34C4" w:rsidRDefault="00EB4025" w:rsidP="00AD34C4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Проект Решения Думы о внесении изменений в бюджет от </w:t>
            </w:r>
            <w:r w:rsidR="00F41855">
              <w:rPr>
                <w:sz w:val="18"/>
                <w:szCs w:val="18"/>
              </w:rPr>
              <w:t>июня</w:t>
            </w:r>
            <w:r w:rsidR="007B292F" w:rsidRPr="00AD34C4">
              <w:rPr>
                <w:sz w:val="18"/>
                <w:szCs w:val="18"/>
              </w:rPr>
              <w:t xml:space="preserve"> </w:t>
            </w:r>
            <w:r w:rsidRPr="00AD34C4">
              <w:rPr>
                <w:sz w:val="18"/>
                <w:szCs w:val="18"/>
              </w:rPr>
              <w:t>201</w:t>
            </w:r>
            <w:r w:rsidR="0013465E" w:rsidRPr="00AD34C4">
              <w:rPr>
                <w:sz w:val="18"/>
                <w:szCs w:val="18"/>
              </w:rPr>
              <w:t>7</w:t>
            </w:r>
            <w:r w:rsidRPr="00AD34C4">
              <w:rPr>
                <w:sz w:val="18"/>
                <w:szCs w:val="18"/>
              </w:rPr>
              <w:t xml:space="preserve"> года</w:t>
            </w:r>
          </w:p>
          <w:p w:rsidR="00EB4025" w:rsidRPr="00AD34C4" w:rsidRDefault="00EB4025" w:rsidP="00AD3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AD34C4" w:rsidRDefault="00EB4025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EB4025" w:rsidRPr="00AD34C4" w:rsidRDefault="00EB4025" w:rsidP="00AD34C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EB4025" w:rsidRPr="00AD34C4" w:rsidRDefault="00EB4025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F41855" w:rsidRPr="001E256D" w:rsidTr="007E73D6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3465E" w:rsidRDefault="00F41855" w:rsidP="000223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F4185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F4185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+4124,5</w:t>
            </w:r>
          </w:p>
        </w:tc>
      </w:tr>
      <w:tr w:rsidR="00F41855" w:rsidRPr="001E256D" w:rsidTr="007E73D6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F4185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+30,0</w:t>
            </w:r>
          </w:p>
        </w:tc>
      </w:tr>
      <w:tr w:rsidR="00F41855" w:rsidRPr="001E256D" w:rsidTr="007E73D6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F41855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+4094,5</w:t>
            </w:r>
          </w:p>
        </w:tc>
      </w:tr>
      <w:tr w:rsidR="00F41855" w:rsidRPr="001E256D" w:rsidTr="007E73D6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5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</w:t>
            </w:r>
          </w:p>
          <w:p w:rsidR="00F41855" w:rsidRPr="001E256D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5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</w:t>
            </w:r>
          </w:p>
          <w:p w:rsidR="00F41855" w:rsidRPr="001E256D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389891,3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387843,8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6B2DEA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-2047,5</w:t>
            </w:r>
          </w:p>
        </w:tc>
      </w:tr>
      <w:tr w:rsidR="00F41855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Жилищное хозяйство, в </w:t>
            </w:r>
            <w:proofErr w:type="spellStart"/>
            <w:r w:rsidRPr="001E256D">
              <w:rPr>
                <w:bCs/>
                <w:sz w:val="24"/>
                <w:szCs w:val="24"/>
              </w:rPr>
              <w:t>т</w:t>
            </w:r>
            <w:proofErr w:type="gramStart"/>
            <w:r w:rsidRPr="001E256D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E25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3D3D88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F4185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-2047,5</w:t>
            </w:r>
          </w:p>
        </w:tc>
      </w:tr>
      <w:tr w:rsidR="00F41855" w:rsidRPr="001E256D" w:rsidTr="007E73D6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Образование</w:t>
            </w:r>
            <w:r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+400,0</w:t>
            </w:r>
          </w:p>
        </w:tc>
      </w:tr>
      <w:tr w:rsidR="00F41855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Культура,  в  </w:t>
            </w:r>
            <w:proofErr w:type="spellStart"/>
            <w:r w:rsidRPr="001E256D">
              <w:rPr>
                <w:bCs/>
                <w:sz w:val="24"/>
                <w:szCs w:val="24"/>
              </w:rPr>
              <w:t>т.ч</w:t>
            </w:r>
            <w:proofErr w:type="spellEnd"/>
            <w:r w:rsidRPr="001E256D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+400,0</w:t>
            </w:r>
          </w:p>
        </w:tc>
      </w:tr>
      <w:tr w:rsidR="00F41855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МП «Развитие библиотечного дела»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32337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32337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F4185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+600,0</w:t>
            </w:r>
          </w:p>
        </w:tc>
      </w:tr>
      <w:tr w:rsidR="00F41855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1"/>
              <w:rPr>
                <w:b/>
                <w:sz w:val="24"/>
                <w:szCs w:val="24"/>
              </w:rPr>
            </w:pPr>
            <w:r w:rsidRPr="001E25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AD34C4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551018,7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554095,7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6D0A42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+3077,0</w:t>
            </w:r>
          </w:p>
        </w:tc>
      </w:tr>
    </w:tbl>
    <w:p w:rsidR="00F41855" w:rsidRDefault="00F41855" w:rsidP="00EB4025">
      <w:pPr>
        <w:jc w:val="center"/>
        <w:rPr>
          <w:b/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3. Выводы и рекомендации:</w:t>
      </w:r>
    </w:p>
    <w:p w:rsidR="00463681" w:rsidRDefault="00CF3BF0" w:rsidP="008357B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AE46FA" w:rsidRPr="0073739F">
        <w:rPr>
          <w:sz w:val="24"/>
          <w:szCs w:val="24"/>
        </w:rPr>
        <w:t>Д</w:t>
      </w:r>
      <w:r w:rsidR="00EB4025" w:rsidRPr="0073739F">
        <w:rPr>
          <w:sz w:val="24"/>
          <w:szCs w:val="24"/>
        </w:rPr>
        <w:t>окумент</w:t>
      </w:r>
      <w:r w:rsidR="00AE46FA" w:rsidRPr="0073739F">
        <w:rPr>
          <w:sz w:val="24"/>
          <w:szCs w:val="24"/>
        </w:rPr>
        <w:t>ы</w:t>
      </w:r>
      <w:r w:rsidR="00EB4025" w:rsidRPr="0073739F">
        <w:rPr>
          <w:sz w:val="24"/>
          <w:szCs w:val="24"/>
        </w:rPr>
        <w:t>, представленны</w:t>
      </w:r>
      <w:r w:rsidR="00AE46FA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 xml:space="preserve"> одновременно с проектом бюджета, соответству</w:t>
      </w:r>
      <w:r w:rsidR="00F92D85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73739F">
        <w:rPr>
          <w:sz w:val="24"/>
          <w:szCs w:val="24"/>
        </w:rPr>
        <w:t>».</w:t>
      </w:r>
      <w:r w:rsidR="00463681" w:rsidRPr="0073739F">
        <w:rPr>
          <w:sz w:val="24"/>
          <w:szCs w:val="24"/>
        </w:rPr>
        <w:t xml:space="preserve"> </w:t>
      </w:r>
    </w:p>
    <w:p w:rsidR="00C57BAB" w:rsidRDefault="004F34CE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4F34CE">
        <w:rPr>
          <w:sz w:val="24"/>
          <w:szCs w:val="24"/>
        </w:rPr>
        <w:t xml:space="preserve">Объем  бюджетных ассигнований на финансовое  обеспечение  реализации программ  утверждается  решением Думы </w:t>
      </w:r>
      <w:proofErr w:type="spellStart"/>
      <w:r w:rsidRPr="004F34CE">
        <w:rPr>
          <w:sz w:val="24"/>
          <w:szCs w:val="24"/>
        </w:rPr>
        <w:t>Тайшетского</w:t>
      </w:r>
      <w:proofErr w:type="spellEnd"/>
      <w:r w:rsidRPr="004F34CE">
        <w:rPr>
          <w:sz w:val="24"/>
          <w:szCs w:val="24"/>
        </w:rPr>
        <w:t xml:space="preserve"> городского поселения. Таким образом,    при изменении (увеличении) объемов бюджетных ассигнований на 2017 год,  профильному комитету  Думы </w:t>
      </w:r>
      <w:proofErr w:type="spellStart"/>
      <w:r w:rsidRPr="004F34CE">
        <w:rPr>
          <w:sz w:val="24"/>
          <w:szCs w:val="24"/>
        </w:rPr>
        <w:t>Тайшетского</w:t>
      </w:r>
      <w:proofErr w:type="spellEnd"/>
      <w:r w:rsidRPr="004F34CE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рекомендуется </w:t>
      </w:r>
      <w:bookmarkStart w:id="0" w:name="_GoBack"/>
      <w:bookmarkEnd w:id="0"/>
      <w:r w:rsidRPr="004F34CE">
        <w:rPr>
          <w:sz w:val="24"/>
          <w:szCs w:val="24"/>
        </w:rPr>
        <w:t>ознакомиться с мероприятиями соответствующих  муниципальных целевых программ.</w:t>
      </w:r>
      <w:r w:rsidRPr="004F34CE">
        <w:rPr>
          <w:sz w:val="24"/>
          <w:szCs w:val="24"/>
        </w:rPr>
        <w:tab/>
      </w:r>
    </w:p>
    <w:p w:rsidR="004F34CE" w:rsidRPr="00CF3BF0" w:rsidRDefault="004F34CE" w:rsidP="004F3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3BF0">
        <w:rPr>
          <w:sz w:val="24"/>
          <w:szCs w:val="24"/>
        </w:rPr>
        <w:t xml:space="preserve">Рассмотренный проект </w:t>
      </w:r>
      <w:r>
        <w:rPr>
          <w:sz w:val="24"/>
          <w:szCs w:val="24"/>
        </w:rPr>
        <w:t>решения Думы</w:t>
      </w:r>
      <w:r w:rsidRPr="00CF3BF0">
        <w:rPr>
          <w:sz w:val="24"/>
          <w:szCs w:val="24"/>
        </w:rPr>
        <w:t xml:space="preserve">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Pr="00CF3BF0">
        <w:rPr>
          <w:sz w:val="24"/>
          <w:szCs w:val="24"/>
        </w:rPr>
        <w:t>Тайшетское</w:t>
      </w:r>
      <w:proofErr w:type="spellEnd"/>
      <w:r w:rsidRPr="00CF3BF0">
        <w:rPr>
          <w:sz w:val="24"/>
          <w:szCs w:val="24"/>
        </w:rPr>
        <w:t xml:space="preserve"> городское поселение» на 2017 год и на  плановый период 2018 и 2019 годов»</w:t>
      </w:r>
      <w:r>
        <w:rPr>
          <w:sz w:val="24"/>
          <w:szCs w:val="24"/>
        </w:rPr>
        <w:t xml:space="preserve"> </w:t>
      </w:r>
      <w:r w:rsidRPr="00CF3BF0">
        <w:rPr>
          <w:sz w:val="24"/>
          <w:szCs w:val="24"/>
        </w:rPr>
        <w:t xml:space="preserve"> может  быть утвержден в представленной редакции.</w:t>
      </w:r>
    </w:p>
    <w:p w:rsidR="00F41855" w:rsidRDefault="00F41855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370A2" w:rsidRDefault="003370A2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C7E65" w:rsidRDefault="006C7E65" w:rsidP="00EB4025">
      <w:pPr>
        <w:jc w:val="both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22387"/>
    <w:rsid w:val="0002520E"/>
    <w:rsid w:val="00027891"/>
    <w:rsid w:val="00054F15"/>
    <w:rsid w:val="00056106"/>
    <w:rsid w:val="00056864"/>
    <w:rsid w:val="000816C3"/>
    <w:rsid w:val="00084EBF"/>
    <w:rsid w:val="000B7F68"/>
    <w:rsid w:val="000C0270"/>
    <w:rsid w:val="000C259C"/>
    <w:rsid w:val="000C38A4"/>
    <w:rsid w:val="000D24C8"/>
    <w:rsid w:val="000D4492"/>
    <w:rsid w:val="000E39EC"/>
    <w:rsid w:val="000F7AF3"/>
    <w:rsid w:val="00107133"/>
    <w:rsid w:val="00130FA9"/>
    <w:rsid w:val="00132E2A"/>
    <w:rsid w:val="0013465E"/>
    <w:rsid w:val="00166B45"/>
    <w:rsid w:val="00171B76"/>
    <w:rsid w:val="00171CB9"/>
    <w:rsid w:val="00174FB6"/>
    <w:rsid w:val="001B150F"/>
    <w:rsid w:val="001B1DB3"/>
    <w:rsid w:val="001B7C78"/>
    <w:rsid w:val="001E3ED8"/>
    <w:rsid w:val="001E63F2"/>
    <w:rsid w:val="002110B2"/>
    <w:rsid w:val="00283458"/>
    <w:rsid w:val="00284D1A"/>
    <w:rsid w:val="002A41BD"/>
    <w:rsid w:val="002D65DA"/>
    <w:rsid w:val="002F7FD5"/>
    <w:rsid w:val="00316A98"/>
    <w:rsid w:val="00317DD0"/>
    <w:rsid w:val="003370A2"/>
    <w:rsid w:val="003426F7"/>
    <w:rsid w:val="00342720"/>
    <w:rsid w:val="003513D2"/>
    <w:rsid w:val="00370071"/>
    <w:rsid w:val="00380764"/>
    <w:rsid w:val="003955AD"/>
    <w:rsid w:val="003A116B"/>
    <w:rsid w:val="003D3D88"/>
    <w:rsid w:val="003E3C96"/>
    <w:rsid w:val="00441752"/>
    <w:rsid w:val="00443F91"/>
    <w:rsid w:val="00456ACD"/>
    <w:rsid w:val="00463681"/>
    <w:rsid w:val="00475F07"/>
    <w:rsid w:val="0048505B"/>
    <w:rsid w:val="0049680B"/>
    <w:rsid w:val="004A5DE4"/>
    <w:rsid w:val="004B0362"/>
    <w:rsid w:val="004E2F78"/>
    <w:rsid w:val="004F1ABF"/>
    <w:rsid w:val="004F34CE"/>
    <w:rsid w:val="00502900"/>
    <w:rsid w:val="00537035"/>
    <w:rsid w:val="00544923"/>
    <w:rsid w:val="00563B2F"/>
    <w:rsid w:val="005707FF"/>
    <w:rsid w:val="00597660"/>
    <w:rsid w:val="005A45E0"/>
    <w:rsid w:val="005A6BC2"/>
    <w:rsid w:val="005C6690"/>
    <w:rsid w:val="005E09B8"/>
    <w:rsid w:val="005E5315"/>
    <w:rsid w:val="005F470D"/>
    <w:rsid w:val="005F7C50"/>
    <w:rsid w:val="0061785B"/>
    <w:rsid w:val="00626834"/>
    <w:rsid w:val="00626DEA"/>
    <w:rsid w:val="00630E8C"/>
    <w:rsid w:val="00642873"/>
    <w:rsid w:val="0064690F"/>
    <w:rsid w:val="006522C2"/>
    <w:rsid w:val="0068595A"/>
    <w:rsid w:val="0069368D"/>
    <w:rsid w:val="006B2DEA"/>
    <w:rsid w:val="006C7A93"/>
    <w:rsid w:val="006C7E65"/>
    <w:rsid w:val="006D0788"/>
    <w:rsid w:val="006D0A42"/>
    <w:rsid w:val="00713D87"/>
    <w:rsid w:val="007344A6"/>
    <w:rsid w:val="00736F61"/>
    <w:rsid w:val="0073739F"/>
    <w:rsid w:val="00756742"/>
    <w:rsid w:val="00787C12"/>
    <w:rsid w:val="007B292F"/>
    <w:rsid w:val="007C243B"/>
    <w:rsid w:val="007E5CB6"/>
    <w:rsid w:val="007E73D6"/>
    <w:rsid w:val="007F5416"/>
    <w:rsid w:val="00807750"/>
    <w:rsid w:val="00830623"/>
    <w:rsid w:val="00832466"/>
    <w:rsid w:val="008357B2"/>
    <w:rsid w:val="008444CC"/>
    <w:rsid w:val="00856282"/>
    <w:rsid w:val="00872FA2"/>
    <w:rsid w:val="008A08C1"/>
    <w:rsid w:val="008C0123"/>
    <w:rsid w:val="008C0217"/>
    <w:rsid w:val="008D3457"/>
    <w:rsid w:val="008D4DA8"/>
    <w:rsid w:val="009110CE"/>
    <w:rsid w:val="00931013"/>
    <w:rsid w:val="00962D5D"/>
    <w:rsid w:val="009637AB"/>
    <w:rsid w:val="0097212D"/>
    <w:rsid w:val="0097296E"/>
    <w:rsid w:val="009870C3"/>
    <w:rsid w:val="009930FC"/>
    <w:rsid w:val="009A3468"/>
    <w:rsid w:val="009B3238"/>
    <w:rsid w:val="009B7006"/>
    <w:rsid w:val="009B7A64"/>
    <w:rsid w:val="009C5C50"/>
    <w:rsid w:val="009E13F1"/>
    <w:rsid w:val="009F78F6"/>
    <w:rsid w:val="00A06A88"/>
    <w:rsid w:val="00A333F7"/>
    <w:rsid w:val="00A3428E"/>
    <w:rsid w:val="00A36F4E"/>
    <w:rsid w:val="00A40D7E"/>
    <w:rsid w:val="00A436CE"/>
    <w:rsid w:val="00A87BFA"/>
    <w:rsid w:val="00AD147E"/>
    <w:rsid w:val="00AD34C4"/>
    <w:rsid w:val="00AE27F7"/>
    <w:rsid w:val="00AE46FA"/>
    <w:rsid w:val="00B06566"/>
    <w:rsid w:val="00B569F6"/>
    <w:rsid w:val="00B80BAF"/>
    <w:rsid w:val="00B9248F"/>
    <w:rsid w:val="00B9275D"/>
    <w:rsid w:val="00BC6145"/>
    <w:rsid w:val="00C3102F"/>
    <w:rsid w:val="00C3448D"/>
    <w:rsid w:val="00C57BAB"/>
    <w:rsid w:val="00C65D6B"/>
    <w:rsid w:val="00C86156"/>
    <w:rsid w:val="00CC37BF"/>
    <w:rsid w:val="00CC6583"/>
    <w:rsid w:val="00CD37FE"/>
    <w:rsid w:val="00CD7197"/>
    <w:rsid w:val="00CF3BF0"/>
    <w:rsid w:val="00D009BC"/>
    <w:rsid w:val="00D07A4E"/>
    <w:rsid w:val="00D25182"/>
    <w:rsid w:val="00D331ED"/>
    <w:rsid w:val="00D7458B"/>
    <w:rsid w:val="00D76560"/>
    <w:rsid w:val="00DD116A"/>
    <w:rsid w:val="00E115A1"/>
    <w:rsid w:val="00E95559"/>
    <w:rsid w:val="00EA6442"/>
    <w:rsid w:val="00EB4025"/>
    <w:rsid w:val="00EC041A"/>
    <w:rsid w:val="00EC31D9"/>
    <w:rsid w:val="00ED0E24"/>
    <w:rsid w:val="00EF11D5"/>
    <w:rsid w:val="00F1609F"/>
    <w:rsid w:val="00F41855"/>
    <w:rsid w:val="00F92D85"/>
    <w:rsid w:val="00FB2D6C"/>
    <w:rsid w:val="00FB4D29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1359-D2E7-414E-9A49-CEB4E0DC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137</cp:revision>
  <cp:lastPrinted>2017-05-18T06:37:00Z</cp:lastPrinted>
  <dcterms:created xsi:type="dcterms:W3CDTF">2016-02-16T07:20:00Z</dcterms:created>
  <dcterms:modified xsi:type="dcterms:W3CDTF">2017-06-13T00:08:00Z</dcterms:modified>
</cp:coreProperties>
</file>