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A96679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67D8">
        <w:rPr>
          <w:rFonts w:ascii="Times New Roman" w:hAnsi="Times New Roman"/>
          <w:sz w:val="24"/>
          <w:szCs w:val="24"/>
        </w:rPr>
        <w:t>2</w:t>
      </w:r>
      <w:r w:rsidR="00E82366">
        <w:rPr>
          <w:rFonts w:ascii="Times New Roman" w:hAnsi="Times New Roman"/>
          <w:sz w:val="24"/>
          <w:szCs w:val="24"/>
        </w:rPr>
        <w:t>8</w:t>
      </w:r>
      <w:r w:rsidR="008D67D8">
        <w:rPr>
          <w:rFonts w:ascii="Times New Roman" w:hAnsi="Times New Roman"/>
          <w:sz w:val="24"/>
          <w:szCs w:val="24"/>
        </w:rPr>
        <w:t xml:space="preserve"> июля</w:t>
      </w:r>
      <w:r w:rsidR="00687AFF" w:rsidRPr="00C52F58">
        <w:rPr>
          <w:rFonts w:ascii="Times New Roman" w:hAnsi="Times New Roman"/>
          <w:sz w:val="24"/>
          <w:szCs w:val="24"/>
        </w:rPr>
        <w:t xml:space="preserve"> 201</w:t>
      </w:r>
      <w:r w:rsidR="00826981">
        <w:rPr>
          <w:rFonts w:ascii="Times New Roman" w:hAnsi="Times New Roman"/>
          <w:sz w:val="24"/>
          <w:szCs w:val="24"/>
        </w:rPr>
        <w:t>7</w:t>
      </w:r>
      <w:r w:rsidR="00687AFF" w:rsidRPr="00C52F58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E841D9">
        <w:rPr>
          <w:rFonts w:ascii="Times New Roman" w:hAnsi="Times New Roman"/>
          <w:b/>
          <w:sz w:val="24"/>
          <w:szCs w:val="24"/>
        </w:rPr>
        <w:t>29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3253B0">
        <w:rPr>
          <w:rStyle w:val="a4"/>
          <w:rFonts w:ascii="Times New Roman" w:hAnsi="Times New Roman"/>
          <w:sz w:val="24"/>
          <w:szCs w:val="24"/>
        </w:rPr>
        <w:t>полугодие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826981">
        <w:rPr>
          <w:rStyle w:val="a4"/>
          <w:rFonts w:ascii="Times New Roman" w:hAnsi="Times New Roman"/>
          <w:sz w:val="24"/>
          <w:szCs w:val="24"/>
        </w:rPr>
        <w:t>7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бюджетном </w:t>
      </w:r>
      <w:proofErr w:type="gramStart"/>
      <w:r w:rsidRPr="00C52F58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1 </w:t>
      </w:r>
      <w:r w:rsidR="00E82366">
        <w:rPr>
          <w:rStyle w:val="a4"/>
          <w:rFonts w:ascii="Times New Roman" w:hAnsi="Times New Roman"/>
          <w:b w:val="0"/>
          <w:sz w:val="24"/>
          <w:szCs w:val="24"/>
        </w:rPr>
        <w:t>полугодие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2017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A3220">
        <w:rPr>
          <w:rFonts w:ascii="Times New Roman" w:hAnsi="Times New Roman"/>
          <w:sz w:val="24"/>
          <w:szCs w:val="24"/>
        </w:rPr>
        <w:t>первое</w:t>
      </w:r>
      <w:r w:rsidR="004D6ED5">
        <w:rPr>
          <w:rFonts w:ascii="Times New Roman" w:hAnsi="Times New Roman"/>
          <w:sz w:val="24"/>
          <w:szCs w:val="24"/>
        </w:rPr>
        <w:t xml:space="preserve"> </w:t>
      </w:r>
      <w:r w:rsidR="00E841D9">
        <w:rPr>
          <w:rFonts w:ascii="Times New Roman" w:hAnsi="Times New Roman"/>
          <w:sz w:val="24"/>
          <w:szCs w:val="24"/>
        </w:rPr>
        <w:t>полугодие</w:t>
      </w:r>
      <w:r w:rsidR="004D6ED5">
        <w:rPr>
          <w:rFonts w:ascii="Times New Roman" w:hAnsi="Times New Roman"/>
          <w:sz w:val="24"/>
          <w:szCs w:val="24"/>
        </w:rPr>
        <w:t xml:space="preserve">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</w:t>
      </w:r>
      <w:r w:rsidRPr="004A3220">
        <w:rPr>
          <w:rFonts w:ascii="Times New Roman" w:hAnsi="Times New Roman"/>
          <w:sz w:val="24"/>
          <w:szCs w:val="24"/>
        </w:rPr>
        <w:t xml:space="preserve">» от  </w:t>
      </w:r>
      <w:r w:rsidR="00E82366" w:rsidRPr="004A3220">
        <w:rPr>
          <w:rFonts w:ascii="Times New Roman" w:hAnsi="Times New Roman"/>
          <w:sz w:val="24"/>
          <w:szCs w:val="24"/>
        </w:rPr>
        <w:t>21</w:t>
      </w:r>
      <w:r w:rsidR="004D6ED5" w:rsidRPr="004A3220">
        <w:rPr>
          <w:rFonts w:ascii="Times New Roman" w:hAnsi="Times New Roman"/>
          <w:sz w:val="24"/>
          <w:szCs w:val="24"/>
        </w:rPr>
        <w:t>.0</w:t>
      </w:r>
      <w:r w:rsidR="00E82366" w:rsidRPr="004A3220">
        <w:rPr>
          <w:rFonts w:ascii="Times New Roman" w:hAnsi="Times New Roman"/>
          <w:sz w:val="24"/>
          <w:szCs w:val="24"/>
        </w:rPr>
        <w:t>7</w:t>
      </w:r>
      <w:r w:rsidR="004D6ED5" w:rsidRPr="004A3220">
        <w:rPr>
          <w:rFonts w:ascii="Times New Roman" w:hAnsi="Times New Roman"/>
          <w:sz w:val="24"/>
          <w:szCs w:val="24"/>
        </w:rPr>
        <w:t>.</w:t>
      </w:r>
      <w:r w:rsidRPr="004A3220">
        <w:rPr>
          <w:rFonts w:ascii="Times New Roman" w:hAnsi="Times New Roman"/>
          <w:sz w:val="24"/>
          <w:szCs w:val="24"/>
        </w:rPr>
        <w:t>201</w:t>
      </w:r>
      <w:r w:rsidR="00826981" w:rsidRPr="004A3220">
        <w:rPr>
          <w:rFonts w:ascii="Times New Roman" w:hAnsi="Times New Roman"/>
          <w:sz w:val="24"/>
          <w:szCs w:val="24"/>
        </w:rPr>
        <w:t>7</w:t>
      </w:r>
      <w:r w:rsidRPr="004A3220">
        <w:rPr>
          <w:rFonts w:ascii="Times New Roman" w:hAnsi="Times New Roman"/>
          <w:sz w:val="24"/>
          <w:szCs w:val="24"/>
        </w:rPr>
        <w:t xml:space="preserve"> г.  № </w:t>
      </w:r>
      <w:r w:rsidR="004A3220" w:rsidRPr="004A3220">
        <w:rPr>
          <w:rFonts w:ascii="Times New Roman" w:hAnsi="Times New Roman"/>
          <w:sz w:val="24"/>
          <w:szCs w:val="24"/>
        </w:rPr>
        <w:t>33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сведений,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 xml:space="preserve">1 </w:t>
      </w:r>
      <w:r w:rsidR="00E82366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E82366" w:rsidRPr="004A3220">
        <w:rPr>
          <w:rFonts w:ascii="Times New Roman" w:hAnsi="Times New Roman"/>
          <w:sz w:val="24"/>
          <w:szCs w:val="24"/>
        </w:rPr>
        <w:t>21</w:t>
      </w:r>
      <w:r w:rsidR="00B15CDE" w:rsidRPr="004A3220">
        <w:rPr>
          <w:rFonts w:ascii="Times New Roman" w:hAnsi="Times New Roman"/>
          <w:sz w:val="24"/>
          <w:szCs w:val="24"/>
        </w:rPr>
        <w:t>.0</w:t>
      </w:r>
      <w:r w:rsidR="00E82366" w:rsidRPr="004A3220">
        <w:rPr>
          <w:rFonts w:ascii="Times New Roman" w:hAnsi="Times New Roman"/>
          <w:sz w:val="24"/>
          <w:szCs w:val="24"/>
        </w:rPr>
        <w:t>7</w:t>
      </w:r>
      <w:r w:rsidR="00B15CDE" w:rsidRPr="004A3220">
        <w:rPr>
          <w:rFonts w:ascii="Times New Roman" w:hAnsi="Times New Roman"/>
          <w:sz w:val="24"/>
          <w:szCs w:val="24"/>
        </w:rPr>
        <w:t>.</w:t>
      </w:r>
      <w:r w:rsidRPr="004A3220">
        <w:rPr>
          <w:rFonts w:ascii="Times New Roman" w:hAnsi="Times New Roman"/>
          <w:sz w:val="24"/>
          <w:szCs w:val="24"/>
        </w:rPr>
        <w:t>201</w:t>
      </w:r>
      <w:r w:rsidR="00B15CDE" w:rsidRPr="004A3220">
        <w:rPr>
          <w:rFonts w:ascii="Times New Roman" w:hAnsi="Times New Roman"/>
          <w:sz w:val="24"/>
          <w:szCs w:val="24"/>
        </w:rPr>
        <w:t>6</w:t>
      </w:r>
      <w:r w:rsidRPr="004A3220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 по </w:t>
      </w:r>
      <w:r w:rsidR="00826981">
        <w:rPr>
          <w:rFonts w:ascii="Times New Roman" w:hAnsi="Times New Roman"/>
          <w:sz w:val="24"/>
          <w:szCs w:val="24"/>
        </w:rPr>
        <w:t>2</w:t>
      </w:r>
      <w:r w:rsidR="00E82366">
        <w:rPr>
          <w:rFonts w:ascii="Times New Roman" w:hAnsi="Times New Roman"/>
          <w:sz w:val="24"/>
          <w:szCs w:val="24"/>
        </w:rPr>
        <w:t>8</w:t>
      </w:r>
      <w:r w:rsidR="00B15CDE">
        <w:rPr>
          <w:rFonts w:ascii="Times New Roman" w:hAnsi="Times New Roman"/>
          <w:sz w:val="24"/>
          <w:szCs w:val="24"/>
        </w:rPr>
        <w:t>.0</w:t>
      </w:r>
      <w:r w:rsidR="00E82366">
        <w:rPr>
          <w:rFonts w:ascii="Times New Roman" w:hAnsi="Times New Roman"/>
          <w:sz w:val="24"/>
          <w:szCs w:val="24"/>
        </w:rPr>
        <w:t>7</w:t>
      </w:r>
      <w:r w:rsidR="00B15CDE">
        <w:rPr>
          <w:rFonts w:ascii="Times New Roman" w:hAnsi="Times New Roman"/>
          <w:sz w:val="24"/>
          <w:szCs w:val="24"/>
        </w:rPr>
        <w:t>.2016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Pr="00C52F58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E82366">
        <w:rPr>
          <w:rFonts w:ascii="Times New Roman" w:hAnsi="Times New Roman"/>
          <w:sz w:val="24"/>
          <w:szCs w:val="24"/>
          <w:lang w:eastAsia="ru-RU"/>
        </w:rPr>
        <w:t>полугодии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2698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2</w:t>
      </w:r>
      <w:r w:rsidR="00826981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826981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B15CDE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>90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2018 и</w:t>
      </w:r>
      <w:r w:rsidR="00E82366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2019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proofErr w:type="spellStart"/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="00E82366">
        <w:rPr>
          <w:rFonts w:ascii="Times New Roman" w:hAnsi="Times New Roman"/>
          <w:spacing w:val="20"/>
          <w:sz w:val="24"/>
          <w:szCs w:val="24"/>
          <w:lang w:eastAsia="ru-RU"/>
        </w:rPr>
        <w:t>Думы</w:t>
      </w:r>
      <w:proofErr w:type="spellEnd"/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от 26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826981">
        <w:rPr>
          <w:rFonts w:ascii="Times New Roman" w:hAnsi="Times New Roman"/>
          <w:sz w:val="24"/>
          <w:szCs w:val="24"/>
        </w:rPr>
        <w:t>300</w:t>
      </w:r>
      <w:r w:rsidR="00E82366">
        <w:rPr>
          <w:rFonts w:ascii="Times New Roman" w:hAnsi="Times New Roman"/>
          <w:sz w:val="24"/>
          <w:szCs w:val="24"/>
        </w:rPr>
        <w:t>, Решения Думы от 25.05.2017 г. №317, Решения Думы от15.06.2017 г</w:t>
      </w:r>
      <w:proofErr w:type="gramEnd"/>
      <w:r w:rsidR="00E82366">
        <w:rPr>
          <w:rFonts w:ascii="Times New Roman" w:hAnsi="Times New Roman"/>
          <w:sz w:val="24"/>
          <w:szCs w:val="24"/>
        </w:rPr>
        <w:t>. №320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826981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82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2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B15C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82698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109580,6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113959,0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687AFF" w:rsidP="00C6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67A08">
              <w:rPr>
                <w:rFonts w:ascii="Times New Roman" w:hAnsi="Times New Roman"/>
                <w:sz w:val="24"/>
                <w:szCs w:val="24"/>
                <w:lang w:eastAsia="ru-RU"/>
              </w:rPr>
              <w:t>4378,4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823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E823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т 2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112685,5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134015,0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B1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-21329,5</w:t>
            </w:r>
          </w:p>
        </w:tc>
      </w:tr>
      <w:tr w:rsidR="00E8236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66" w:rsidRPr="00C52F58" w:rsidRDefault="00E82366" w:rsidP="00E823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2017 год в ред.  от 25.05.2017 г. №317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6" w:rsidRDefault="00710359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526088,7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6" w:rsidRDefault="00710359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551018,7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6" w:rsidRDefault="00710359" w:rsidP="00B1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-24930,0</w:t>
            </w:r>
          </w:p>
        </w:tc>
      </w:tr>
      <w:tr w:rsidR="00710359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59" w:rsidRDefault="00710359" w:rsidP="00E823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2017 год в ред. от 15.06.2017 г. №320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9" w:rsidRDefault="00710359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529217,1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9" w:rsidRDefault="00710359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554095,7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9" w:rsidRDefault="00710359" w:rsidP="00B1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-24878,6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71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687AFF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359">
              <w:rPr>
                <w:rFonts w:ascii="Times New Roman" w:hAnsi="Times New Roman"/>
                <w:sz w:val="24"/>
                <w:szCs w:val="24"/>
                <w:lang w:eastAsia="ru-RU"/>
              </w:rPr>
              <w:t>419636,5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71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10359">
              <w:rPr>
                <w:rFonts w:ascii="Times New Roman" w:hAnsi="Times New Roman"/>
                <w:sz w:val="24"/>
                <w:szCs w:val="24"/>
                <w:lang w:eastAsia="ru-RU"/>
              </w:rPr>
              <w:t>440136,7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71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10359">
              <w:rPr>
                <w:rFonts w:ascii="Times New Roman" w:hAnsi="Times New Roman"/>
                <w:sz w:val="24"/>
                <w:szCs w:val="24"/>
                <w:lang w:eastAsia="ru-RU"/>
              </w:rPr>
              <w:t>20500,2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744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 Кроме того,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F079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8F0216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 w:rsidR="001C4B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>(июнь)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0325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года вносились изменения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  Изменения связаны с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увеличением 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>бюджетных ассигнований</w:t>
      </w:r>
      <w:r w:rsidR="009A68C3" w:rsidRPr="009A68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68C3">
        <w:rPr>
          <w:rFonts w:ascii="Times New Roman" w:hAnsi="Times New Roman"/>
          <w:b/>
          <w:sz w:val="24"/>
          <w:szCs w:val="24"/>
          <w:lang w:eastAsia="ru-RU"/>
        </w:rPr>
        <w:t>за счет средств областного бюджета, выделенных на реализацию мероприятий перечня проектов народных инициатив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 xml:space="preserve"> в виде субсидии 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 xml:space="preserve">на сумму 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>6997,3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2C2F5C" w:rsidRPr="00C52F5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B13D3" w:rsidRDefault="00FB13D3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Сумма доходов 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увеличена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1C4B77">
        <w:rPr>
          <w:rFonts w:ascii="Times New Roman" w:hAnsi="Times New Roman"/>
          <w:bCs/>
          <w:sz w:val="24"/>
          <w:szCs w:val="24"/>
          <w:lang w:eastAsia="ru-RU"/>
        </w:rPr>
        <w:t>6997,3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 </w:t>
      </w:r>
      <w:r w:rsidR="001D2B00"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 </w:t>
      </w:r>
      <w:r w:rsidR="001C4B77">
        <w:rPr>
          <w:rFonts w:ascii="Times New Roman" w:hAnsi="Times New Roman"/>
          <w:b/>
          <w:bCs/>
          <w:sz w:val="24"/>
          <w:szCs w:val="24"/>
          <w:lang w:eastAsia="ru-RU"/>
        </w:rPr>
        <w:t>536214,4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Сумма расходов  бюджета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увеличилась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 xml:space="preserve">так же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>6997,3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 и </w:t>
      </w:r>
      <w:r w:rsidR="00B32763"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</w:t>
      </w:r>
      <w:r w:rsidR="009A68C3">
        <w:rPr>
          <w:rFonts w:ascii="Times New Roman" w:hAnsi="Times New Roman"/>
          <w:b/>
          <w:bCs/>
          <w:sz w:val="24"/>
          <w:szCs w:val="24"/>
          <w:lang w:eastAsia="ru-RU"/>
        </w:rPr>
        <w:t>561092,9</w:t>
      </w:r>
      <w:r w:rsidR="006F3744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тыс. руб. Дефицит бюджета </w:t>
      </w:r>
      <w:r w:rsidR="009A68C3">
        <w:rPr>
          <w:rFonts w:ascii="Times New Roman" w:hAnsi="Times New Roman"/>
          <w:bCs/>
          <w:sz w:val="24"/>
          <w:szCs w:val="24"/>
          <w:lang w:eastAsia="ru-RU"/>
        </w:rPr>
        <w:t xml:space="preserve">установлен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 w:rsidR="009A68C3">
        <w:rPr>
          <w:rFonts w:ascii="Times New Roman" w:hAnsi="Times New Roman"/>
          <w:b/>
          <w:bCs/>
          <w:sz w:val="24"/>
          <w:szCs w:val="24"/>
          <w:lang w:eastAsia="ru-RU"/>
        </w:rPr>
        <w:t>24878,5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 w:rsidR="00656935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финансирования дефицита бюджета</w:t>
      </w:r>
      <w:r w:rsidR="00246B47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со ст. 96 Бюджетного кодекса РФ</w:t>
      </w:r>
      <w:r w:rsidR="00656935">
        <w:rPr>
          <w:rFonts w:ascii="Times New Roman" w:hAnsi="Times New Roman"/>
          <w:bCs/>
          <w:sz w:val="24"/>
          <w:szCs w:val="24"/>
          <w:lang w:eastAsia="ru-RU"/>
        </w:rPr>
        <w:t xml:space="preserve"> являются  остатки средств на счетах </w:t>
      </w:r>
      <w:r w:rsidR="00F70CD0">
        <w:rPr>
          <w:rFonts w:ascii="Times New Roman" w:hAnsi="Times New Roman"/>
          <w:bCs/>
          <w:sz w:val="24"/>
          <w:szCs w:val="24"/>
          <w:lang w:eastAsia="ru-RU"/>
        </w:rPr>
        <w:t>местного бюджета.</w:t>
      </w:r>
      <w:r w:rsidR="00092E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687AFF" w:rsidRPr="00C52F58" w:rsidRDefault="00FB13D3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="00092E31">
        <w:rPr>
          <w:rFonts w:ascii="Times New Roman" w:hAnsi="Times New Roman"/>
          <w:bCs/>
          <w:sz w:val="24"/>
          <w:szCs w:val="24"/>
          <w:lang w:eastAsia="ru-RU"/>
        </w:rPr>
        <w:t xml:space="preserve">В связи с </w:t>
      </w:r>
      <w:r w:rsidR="00CD7CBF">
        <w:rPr>
          <w:rFonts w:ascii="Times New Roman" w:hAnsi="Times New Roman"/>
          <w:bCs/>
          <w:sz w:val="24"/>
          <w:szCs w:val="24"/>
          <w:lang w:eastAsia="ru-RU"/>
        </w:rPr>
        <w:t xml:space="preserve">этим,  анализ исполнения бюджета будет  произведен с плановыми показателями сводной бюджетной росписи. </w:t>
      </w:r>
    </w:p>
    <w:p w:rsidR="00687AFF" w:rsidRPr="00C52F58" w:rsidRDefault="00687AFF" w:rsidP="00687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5B4" w:rsidRDefault="00A855B4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55B4" w:rsidRDefault="00A855B4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4A322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B13D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4A3220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E558A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4A3220">
        <w:rPr>
          <w:rFonts w:ascii="Times New Roman" w:hAnsi="Times New Roman"/>
          <w:sz w:val="24"/>
          <w:szCs w:val="24"/>
          <w:lang w:eastAsia="ru-RU"/>
        </w:rPr>
        <w:t>159502,2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4A3220">
        <w:rPr>
          <w:rFonts w:ascii="Times New Roman" w:hAnsi="Times New Roman"/>
          <w:bCs/>
          <w:sz w:val="24"/>
          <w:szCs w:val="24"/>
          <w:lang w:eastAsia="ru-RU"/>
        </w:rPr>
        <w:t>536214,4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4A32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</w:t>
      </w:r>
      <w:r w:rsidR="004A3220">
        <w:rPr>
          <w:rFonts w:ascii="Times New Roman" w:hAnsi="Times New Roman"/>
          <w:sz w:val="24"/>
          <w:szCs w:val="24"/>
          <w:lang w:eastAsia="ru-RU"/>
        </w:rPr>
        <w:t>лей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A3220">
        <w:rPr>
          <w:rFonts w:ascii="Times New Roman" w:hAnsi="Times New Roman"/>
          <w:bCs/>
          <w:sz w:val="24"/>
          <w:szCs w:val="24"/>
          <w:lang w:eastAsia="ru-RU"/>
        </w:rPr>
        <w:t>29,7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C52F58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4A3220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4A3220">
        <w:rPr>
          <w:rFonts w:ascii="Times New Roman" w:hAnsi="Times New Roman"/>
          <w:sz w:val="24"/>
          <w:szCs w:val="24"/>
          <w:lang w:eastAsia="ru-RU"/>
        </w:rPr>
        <w:t>.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85132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4A3220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0B18BD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85132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75AC0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A3220">
        <w:rPr>
          <w:rFonts w:ascii="Times New Roman" w:hAnsi="Times New Roman"/>
          <w:sz w:val="24"/>
          <w:szCs w:val="24"/>
          <w:lang w:eastAsia="ru-RU"/>
        </w:rPr>
        <w:t>105100,1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A3220">
        <w:rPr>
          <w:rFonts w:ascii="Times New Roman" w:hAnsi="Times New Roman"/>
          <w:sz w:val="24"/>
          <w:szCs w:val="24"/>
          <w:lang w:eastAsia="ru-RU"/>
        </w:rPr>
        <w:t xml:space="preserve"> преимущественно за счет безвозмездных поступлений в рамках реализации программы по переселению граждан из ветхого и аварийного жилья.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Темп роста к соответствующему периоду прошлого года составил </w:t>
      </w:r>
      <w:r w:rsidR="004A3220">
        <w:rPr>
          <w:rFonts w:ascii="Times New Roman" w:hAnsi="Times New Roman"/>
          <w:sz w:val="24"/>
          <w:szCs w:val="24"/>
          <w:lang w:eastAsia="ru-RU"/>
        </w:rPr>
        <w:t>293,</w:t>
      </w:r>
      <w:r w:rsidR="000A2954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8B6B49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18513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54CB3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51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1851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51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E54C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54C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E54C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1851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E54C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54CB3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851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E54CB3" w:rsidRPr="00C52F58" w:rsidTr="00C109F3">
        <w:trPr>
          <w:trHeight w:val="967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E54CB3" w:rsidRPr="00C52F58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2AAF">
              <w:rPr>
                <w:rFonts w:ascii="Times New Roman" w:hAnsi="Times New Roman"/>
                <w:sz w:val="24"/>
                <w:szCs w:val="24"/>
                <w:lang w:eastAsia="ru-RU"/>
              </w:rPr>
              <w:t>54402,1</w:t>
            </w:r>
          </w:p>
        </w:tc>
        <w:tc>
          <w:tcPr>
            <w:tcW w:w="1686" w:type="dxa"/>
          </w:tcPr>
          <w:p w:rsidR="00E54CB3" w:rsidRPr="00C52F58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54CB3">
              <w:rPr>
                <w:rFonts w:ascii="Times New Roman" w:hAnsi="Times New Roman"/>
                <w:sz w:val="24"/>
                <w:szCs w:val="24"/>
                <w:lang w:eastAsia="ru-RU"/>
              </w:rPr>
              <w:t>536214,4</w:t>
            </w:r>
          </w:p>
        </w:tc>
        <w:tc>
          <w:tcPr>
            <w:tcW w:w="1840" w:type="dxa"/>
          </w:tcPr>
          <w:p w:rsidR="00E54CB3" w:rsidRPr="00E54CB3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B3">
              <w:rPr>
                <w:rFonts w:ascii="Times New Roman" w:hAnsi="Times New Roman"/>
                <w:sz w:val="24"/>
                <w:szCs w:val="24"/>
                <w:lang w:eastAsia="ru-RU"/>
              </w:rPr>
              <w:t>159502,2</w:t>
            </w:r>
          </w:p>
        </w:tc>
        <w:tc>
          <w:tcPr>
            <w:tcW w:w="953" w:type="dxa"/>
          </w:tcPr>
          <w:p w:rsidR="00E54CB3" w:rsidRPr="00185132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629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E54CB3" w:rsidRPr="00C52F58" w:rsidTr="00C109F3">
        <w:trPr>
          <w:trHeight w:val="967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E54CB3" w:rsidRPr="001A63EA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51282,8</w:t>
            </w:r>
          </w:p>
        </w:tc>
        <w:tc>
          <w:tcPr>
            <w:tcW w:w="1686" w:type="dxa"/>
          </w:tcPr>
          <w:p w:rsidR="00E54CB3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118553,9</w:t>
            </w:r>
          </w:p>
        </w:tc>
        <w:tc>
          <w:tcPr>
            <w:tcW w:w="1840" w:type="dxa"/>
          </w:tcPr>
          <w:p w:rsidR="00E54CB3" w:rsidRPr="00E54CB3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B3">
              <w:rPr>
                <w:rFonts w:ascii="Times New Roman" w:hAnsi="Times New Roman"/>
                <w:sz w:val="24"/>
                <w:szCs w:val="24"/>
                <w:lang w:eastAsia="ru-RU"/>
              </w:rPr>
              <w:t>54472,2</w:t>
            </w:r>
          </w:p>
        </w:tc>
        <w:tc>
          <w:tcPr>
            <w:tcW w:w="953" w:type="dxa"/>
          </w:tcPr>
          <w:p w:rsidR="00E54CB3" w:rsidRPr="00185132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629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E54CB3" w:rsidRPr="00C52F58" w:rsidTr="00C109F3">
        <w:trPr>
          <w:trHeight w:val="635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E54CB3" w:rsidRPr="001A63EA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44665,5</w:t>
            </w:r>
          </w:p>
        </w:tc>
        <w:tc>
          <w:tcPr>
            <w:tcW w:w="1686" w:type="dxa"/>
          </w:tcPr>
          <w:p w:rsidR="00E54CB3" w:rsidRPr="001A63EA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107289,8</w:t>
            </w:r>
          </w:p>
        </w:tc>
        <w:tc>
          <w:tcPr>
            <w:tcW w:w="1840" w:type="dxa"/>
          </w:tcPr>
          <w:p w:rsidR="00E54CB3" w:rsidRPr="001A63EA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46213,0</w:t>
            </w:r>
          </w:p>
        </w:tc>
        <w:tc>
          <w:tcPr>
            <w:tcW w:w="953" w:type="dxa"/>
          </w:tcPr>
          <w:p w:rsidR="00E54CB3" w:rsidRPr="00F75AC0" w:rsidRDefault="00B72F7C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629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54CB3" w:rsidRPr="00C52F58" w:rsidTr="00C109F3">
        <w:trPr>
          <w:trHeight w:val="650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6617,3</w:t>
            </w:r>
          </w:p>
        </w:tc>
        <w:tc>
          <w:tcPr>
            <w:tcW w:w="1686" w:type="dxa"/>
          </w:tcPr>
          <w:p w:rsidR="00E54CB3" w:rsidRPr="001A63EA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11064,1</w:t>
            </w:r>
          </w:p>
        </w:tc>
        <w:tc>
          <w:tcPr>
            <w:tcW w:w="1840" w:type="dxa"/>
          </w:tcPr>
          <w:p w:rsidR="00E54CB3" w:rsidRPr="001A63EA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8259,2</w:t>
            </w:r>
          </w:p>
        </w:tc>
        <w:tc>
          <w:tcPr>
            <w:tcW w:w="953" w:type="dxa"/>
          </w:tcPr>
          <w:p w:rsidR="00E54CB3" w:rsidRPr="00F75AC0" w:rsidRDefault="00B72F7C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629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E54CB3" w:rsidRPr="00C52F58" w:rsidTr="00C109F3">
        <w:trPr>
          <w:trHeight w:val="967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3119,3</w:t>
            </w:r>
          </w:p>
        </w:tc>
        <w:tc>
          <w:tcPr>
            <w:tcW w:w="1686" w:type="dxa"/>
          </w:tcPr>
          <w:p w:rsidR="00E54CB3" w:rsidRPr="00F13D61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417660,5</w:t>
            </w:r>
          </w:p>
        </w:tc>
        <w:tc>
          <w:tcPr>
            <w:tcW w:w="1840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105030,0</w:t>
            </w:r>
          </w:p>
        </w:tc>
        <w:tc>
          <w:tcPr>
            <w:tcW w:w="953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</w:t>
            </w:r>
            <w:r w:rsidR="00E54CB3"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3367,1</w:t>
            </w:r>
          </w:p>
        </w:tc>
      </w:tr>
      <w:tr w:rsidR="00E54CB3" w:rsidRPr="00C52F58" w:rsidTr="00C109F3">
        <w:trPr>
          <w:trHeight w:val="317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45713,7</w:t>
            </w:r>
          </w:p>
        </w:tc>
        <w:tc>
          <w:tcPr>
            <w:tcW w:w="1686" w:type="dxa"/>
          </w:tcPr>
          <w:p w:rsidR="00E54CB3" w:rsidRPr="00F13D61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561092,9</w:t>
            </w:r>
          </w:p>
        </w:tc>
        <w:tc>
          <w:tcPr>
            <w:tcW w:w="1840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164676,6</w:t>
            </w:r>
          </w:p>
        </w:tc>
        <w:tc>
          <w:tcPr>
            <w:tcW w:w="953" w:type="dxa"/>
          </w:tcPr>
          <w:p w:rsidR="00E54CB3" w:rsidRPr="00185132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629" w:type="dxa"/>
          </w:tcPr>
          <w:p w:rsidR="00E54CB3" w:rsidRPr="00F75AC0" w:rsidRDefault="00B72F7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360,2</w:t>
            </w:r>
          </w:p>
        </w:tc>
      </w:tr>
      <w:tr w:rsidR="00E54CB3" w:rsidRPr="00C52F58" w:rsidTr="00C109F3">
        <w:trPr>
          <w:trHeight w:val="665"/>
        </w:trPr>
        <w:tc>
          <w:tcPr>
            <w:tcW w:w="1979" w:type="dxa"/>
          </w:tcPr>
          <w:p w:rsidR="00E54CB3" w:rsidRPr="00C52F58" w:rsidRDefault="00E54CB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E54CB3" w:rsidRPr="00F13D61" w:rsidRDefault="00E54CB3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+8688,4</w:t>
            </w:r>
          </w:p>
        </w:tc>
        <w:tc>
          <w:tcPr>
            <w:tcW w:w="1686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-24878,5</w:t>
            </w:r>
          </w:p>
          <w:p w:rsidR="00E54CB3" w:rsidRPr="00F13D61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E54CB3" w:rsidRPr="00F13D61" w:rsidRDefault="00E54CB3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-5174,4</w:t>
            </w:r>
          </w:p>
        </w:tc>
        <w:tc>
          <w:tcPr>
            <w:tcW w:w="953" w:type="dxa"/>
          </w:tcPr>
          <w:p w:rsidR="00E54CB3" w:rsidRPr="00185132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9" w:type="dxa"/>
          </w:tcPr>
          <w:p w:rsidR="00E54CB3" w:rsidRPr="00185132" w:rsidRDefault="00E54CB3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C120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E73">
        <w:rPr>
          <w:rFonts w:ascii="Times New Roman" w:hAnsi="Times New Roman"/>
          <w:sz w:val="24"/>
          <w:szCs w:val="24"/>
          <w:lang w:eastAsia="ru-RU"/>
        </w:rPr>
        <w:t>201</w:t>
      </w:r>
      <w:r w:rsidR="00945A44">
        <w:rPr>
          <w:rFonts w:ascii="Times New Roman" w:hAnsi="Times New Roman"/>
          <w:sz w:val="24"/>
          <w:szCs w:val="24"/>
          <w:lang w:eastAsia="ru-RU"/>
        </w:rPr>
        <w:t>7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>164676,6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0A2954">
        <w:rPr>
          <w:rFonts w:ascii="Times New Roman" w:hAnsi="Times New Roman"/>
          <w:sz w:val="24"/>
          <w:szCs w:val="24"/>
          <w:lang w:eastAsia="ru-RU"/>
        </w:rPr>
        <w:t>29,3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sz w:val="24"/>
          <w:szCs w:val="24"/>
          <w:lang w:eastAsia="ru-RU"/>
        </w:rPr>
        <w:t>полугодием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201</w:t>
      </w:r>
      <w:r w:rsidR="00945A44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945A44">
        <w:rPr>
          <w:rFonts w:ascii="Times New Roman" w:hAnsi="Times New Roman"/>
          <w:sz w:val="24"/>
          <w:szCs w:val="24"/>
          <w:lang w:eastAsia="ru-RU"/>
        </w:rPr>
        <w:t>выросли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A2954">
        <w:rPr>
          <w:rFonts w:ascii="Times New Roman" w:hAnsi="Times New Roman"/>
          <w:sz w:val="24"/>
          <w:szCs w:val="24"/>
          <w:lang w:eastAsia="ru-RU"/>
        </w:rPr>
        <w:t>118962,9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0A2954">
        <w:rPr>
          <w:rFonts w:ascii="Times New Roman" w:hAnsi="Times New Roman"/>
          <w:sz w:val="24"/>
          <w:szCs w:val="24"/>
          <w:lang w:eastAsia="ru-RU"/>
        </w:rPr>
        <w:t>360,2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Превышение </w:t>
      </w:r>
      <w:r w:rsidR="000A2954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над </w:t>
      </w:r>
      <w:r w:rsidR="000A2954">
        <w:rPr>
          <w:rFonts w:ascii="Times New Roman" w:hAnsi="Times New Roman"/>
          <w:sz w:val="24"/>
          <w:szCs w:val="24"/>
          <w:lang w:eastAsia="ru-RU"/>
        </w:rPr>
        <w:t>доходами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45A44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>5174,4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</w:p>
    <w:p w:rsidR="000A2954" w:rsidRDefault="000A2954" w:rsidP="00EB4EEB">
      <w:p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2954" w:rsidRDefault="000A2954" w:rsidP="00EB4EEB">
      <w:p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="008C5B55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23646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223646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 xml:space="preserve"> (собственные)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исполнены на 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>106,2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0A2954">
        <w:rPr>
          <w:rFonts w:ascii="Times New Roman" w:hAnsi="Times New Roman"/>
          <w:sz w:val="24"/>
          <w:szCs w:val="24"/>
          <w:lang w:eastAsia="ru-RU"/>
        </w:rPr>
        <w:t>54472,2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>105030,0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 w:rsidR="007F583D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7F583D">
        <w:rPr>
          <w:rFonts w:ascii="Times New Roman" w:hAnsi="Times New Roman"/>
          <w:sz w:val="24"/>
          <w:szCs w:val="24"/>
          <w:lang w:eastAsia="ru-RU"/>
        </w:rPr>
        <w:t>увеличился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A2954">
        <w:rPr>
          <w:rFonts w:ascii="Times New Roman" w:hAnsi="Times New Roman"/>
          <w:sz w:val="24"/>
          <w:szCs w:val="24"/>
          <w:lang w:eastAsia="ru-RU"/>
        </w:rPr>
        <w:t>3189,4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0A2954">
        <w:rPr>
          <w:rFonts w:ascii="Times New Roman" w:hAnsi="Times New Roman"/>
          <w:sz w:val="24"/>
          <w:szCs w:val="24"/>
          <w:lang w:eastAsia="ru-RU"/>
        </w:rPr>
        <w:t>6,2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увеличился на </w:t>
      </w:r>
      <w:r w:rsidR="000A2954">
        <w:rPr>
          <w:rFonts w:ascii="Times New Roman" w:hAnsi="Times New Roman"/>
          <w:sz w:val="24"/>
          <w:szCs w:val="24"/>
          <w:lang w:eastAsia="ru-RU"/>
        </w:rPr>
        <w:t>101910,7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CD2546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F583D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CD2546">
        <w:rPr>
          <w:rFonts w:ascii="Times New Roman" w:hAnsi="Times New Roman"/>
          <w:sz w:val="24"/>
          <w:szCs w:val="24"/>
          <w:lang w:eastAsia="ru-RU"/>
        </w:rPr>
        <w:t>46213,0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D2546">
        <w:rPr>
          <w:rFonts w:ascii="Times New Roman" w:hAnsi="Times New Roman"/>
          <w:bCs/>
          <w:sz w:val="24"/>
          <w:szCs w:val="24"/>
          <w:lang w:eastAsia="ru-RU"/>
        </w:rPr>
        <w:t>43,1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B4EEB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E13E9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A2365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42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A2365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23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A23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23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8542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542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A23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8542B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8542B8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A2365B">
              <w:rPr>
                <w:rFonts w:ascii="Times New Roman" w:hAnsi="Times New Roman"/>
              </w:rPr>
              <w:t>6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A2365B" w:rsidRPr="00C52F58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26834,5</w:t>
            </w:r>
          </w:p>
        </w:tc>
        <w:tc>
          <w:tcPr>
            <w:tcW w:w="1121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58764,0</w:t>
            </w:r>
          </w:p>
        </w:tc>
        <w:tc>
          <w:tcPr>
            <w:tcW w:w="1276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29453,8</w:t>
            </w:r>
          </w:p>
        </w:tc>
        <w:tc>
          <w:tcPr>
            <w:tcW w:w="1243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91" w:type="dxa"/>
            <w:vAlign w:val="center"/>
          </w:tcPr>
          <w:p w:rsidR="00A2365B" w:rsidRPr="00C52F58" w:rsidRDefault="00416F6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91" w:type="dxa"/>
            <w:vAlign w:val="bottom"/>
          </w:tcPr>
          <w:p w:rsidR="00A2365B" w:rsidRDefault="008542B8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109,8</w:t>
            </w:r>
          </w:p>
          <w:p w:rsidR="00A2365B" w:rsidRPr="00C52F58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(с/хоз.)</w:t>
            </w:r>
          </w:p>
        </w:tc>
        <w:tc>
          <w:tcPr>
            <w:tcW w:w="1181" w:type="dxa"/>
            <w:vAlign w:val="center"/>
          </w:tcPr>
          <w:p w:rsidR="00A2365B" w:rsidRPr="00C52F58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121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1276" w:type="dxa"/>
            <w:vAlign w:val="center"/>
          </w:tcPr>
          <w:p w:rsidR="00A2365B" w:rsidRPr="00C52F58" w:rsidRDefault="008542B8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243" w:type="dxa"/>
            <w:vAlign w:val="center"/>
          </w:tcPr>
          <w:p w:rsidR="00A2365B" w:rsidRPr="00C52F58" w:rsidRDefault="008542B8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vAlign w:val="center"/>
          </w:tcPr>
          <w:p w:rsidR="00A2365B" w:rsidRPr="00C52F58" w:rsidRDefault="00416F65" w:rsidP="001E09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1" w:type="dxa"/>
            <w:vAlign w:val="center"/>
          </w:tcPr>
          <w:p w:rsidR="00A2365B" w:rsidRPr="00C52F58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147,1</w:t>
            </w: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A2365B" w:rsidRPr="00C52F58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13475,6</w:t>
            </w:r>
          </w:p>
        </w:tc>
        <w:tc>
          <w:tcPr>
            <w:tcW w:w="1121" w:type="dxa"/>
            <w:vAlign w:val="center"/>
          </w:tcPr>
          <w:p w:rsidR="00A2365B" w:rsidRPr="00C52F58" w:rsidRDefault="00A2365B" w:rsidP="008542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542B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11438,8</w:t>
            </w:r>
          </w:p>
        </w:tc>
        <w:tc>
          <w:tcPr>
            <w:tcW w:w="1243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91" w:type="dxa"/>
            <w:vAlign w:val="center"/>
          </w:tcPr>
          <w:p w:rsidR="00A2365B" w:rsidRPr="00C52F58" w:rsidRDefault="00416F6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91" w:type="dxa"/>
            <w:vAlign w:val="center"/>
          </w:tcPr>
          <w:p w:rsidR="00A2365B" w:rsidRPr="00C52F58" w:rsidRDefault="008542B8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A2365B" w:rsidRPr="00C52F58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4097,4</w:t>
            </w:r>
          </w:p>
        </w:tc>
        <w:tc>
          <w:tcPr>
            <w:tcW w:w="1121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9806,4</w:t>
            </w:r>
          </w:p>
        </w:tc>
        <w:tc>
          <w:tcPr>
            <w:tcW w:w="1276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4940,9</w:t>
            </w:r>
          </w:p>
        </w:tc>
        <w:tc>
          <w:tcPr>
            <w:tcW w:w="1243" w:type="dxa"/>
            <w:vAlign w:val="center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1" w:type="dxa"/>
            <w:vAlign w:val="center"/>
          </w:tcPr>
          <w:p w:rsidR="00A2365B" w:rsidRPr="00C52F58" w:rsidRDefault="001E0969" w:rsidP="00416F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  <w:r w:rsidR="00416F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vAlign w:val="center"/>
          </w:tcPr>
          <w:p w:rsidR="00A2365B" w:rsidRPr="00C52F58" w:rsidRDefault="008542B8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A2365B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A2365B" w:rsidRPr="00C52F58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8542B8">
              <w:rPr>
                <w:rFonts w:ascii="Times New Roman" w:hAnsi="Times New Roman"/>
                <w:sz w:val="24"/>
                <w:szCs w:val="24"/>
                <w:lang w:eastAsia="ru-RU"/>
              </w:rPr>
              <w:t>44665,5</w:t>
            </w:r>
          </w:p>
        </w:tc>
        <w:tc>
          <w:tcPr>
            <w:tcW w:w="1121" w:type="dxa"/>
          </w:tcPr>
          <w:p w:rsidR="00A2365B" w:rsidRPr="001A63EA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107289,8</w:t>
            </w:r>
          </w:p>
        </w:tc>
        <w:tc>
          <w:tcPr>
            <w:tcW w:w="1276" w:type="dxa"/>
          </w:tcPr>
          <w:p w:rsidR="00A2365B" w:rsidRPr="001A63EA" w:rsidRDefault="008542B8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46213,0</w:t>
            </w:r>
          </w:p>
        </w:tc>
        <w:tc>
          <w:tcPr>
            <w:tcW w:w="1243" w:type="dxa"/>
          </w:tcPr>
          <w:p w:rsidR="00A2365B" w:rsidRPr="00196535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91" w:type="dxa"/>
          </w:tcPr>
          <w:p w:rsidR="00A2365B" w:rsidRPr="00196535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5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A2365B" w:rsidRPr="00C52F58" w:rsidRDefault="008542B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</w:tbl>
    <w:p w:rsidR="00A855B4" w:rsidRDefault="00A855B4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DF1857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196535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2235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DF1857">
        <w:rPr>
          <w:rFonts w:ascii="Times New Roman" w:hAnsi="Times New Roman"/>
          <w:sz w:val="24"/>
          <w:szCs w:val="24"/>
          <w:lang w:eastAsia="ru-RU"/>
        </w:rPr>
        <w:t>63,7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DF1857">
        <w:rPr>
          <w:rFonts w:ascii="Times New Roman" w:hAnsi="Times New Roman"/>
          <w:sz w:val="24"/>
          <w:szCs w:val="24"/>
          <w:lang w:eastAsia="ru-RU"/>
        </w:rPr>
        <w:t>29453,8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 </w:t>
      </w:r>
      <w:r w:rsidR="008B2BCA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DF1857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196535">
        <w:rPr>
          <w:rFonts w:ascii="Times New Roman" w:hAnsi="Times New Roman"/>
          <w:sz w:val="24"/>
          <w:szCs w:val="24"/>
          <w:lang w:eastAsia="ru-RU"/>
        </w:rPr>
        <w:t>.</w:t>
      </w:r>
      <w:r w:rsidR="00DF18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6535">
        <w:rPr>
          <w:rFonts w:ascii="Times New Roman" w:hAnsi="Times New Roman"/>
          <w:sz w:val="24"/>
          <w:szCs w:val="24"/>
          <w:lang w:eastAsia="ru-RU"/>
        </w:rPr>
        <w:t>201</w:t>
      </w:r>
      <w:r w:rsidR="00722351">
        <w:rPr>
          <w:rFonts w:ascii="Times New Roman" w:hAnsi="Times New Roman"/>
          <w:sz w:val="24"/>
          <w:szCs w:val="24"/>
          <w:lang w:eastAsia="ru-RU"/>
        </w:rPr>
        <w:t>6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удельный вес налога на доходы физических лиц в структуре налоговых доходов составлял </w:t>
      </w:r>
      <w:r w:rsidR="00DF1857">
        <w:rPr>
          <w:rFonts w:ascii="Times New Roman" w:hAnsi="Times New Roman"/>
          <w:sz w:val="24"/>
          <w:szCs w:val="24"/>
          <w:lang w:eastAsia="ru-RU"/>
        </w:rPr>
        <w:t>60,1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E9701A" w:rsidRDefault="00EB4EEB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722351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722351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DF1857">
        <w:rPr>
          <w:rFonts w:ascii="Times New Roman" w:hAnsi="Times New Roman"/>
          <w:sz w:val="24"/>
          <w:szCs w:val="24"/>
          <w:lang w:eastAsia="ru-RU"/>
        </w:rPr>
        <w:t>1547,5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DF1857">
        <w:rPr>
          <w:rFonts w:ascii="Times New Roman" w:hAnsi="Times New Roman"/>
          <w:sz w:val="24"/>
          <w:szCs w:val="24"/>
          <w:lang w:eastAsia="ru-RU"/>
        </w:rPr>
        <w:t>3,5</w:t>
      </w:r>
      <w:r w:rsidRPr="00C52F58">
        <w:rPr>
          <w:rFonts w:ascii="Times New Roman" w:hAnsi="Times New Roman"/>
          <w:sz w:val="24"/>
          <w:szCs w:val="24"/>
          <w:lang w:eastAsia="ru-RU"/>
        </w:rPr>
        <w:t>%. Увеличение произошло по следующим показателям:</w:t>
      </w:r>
    </w:p>
    <w:p w:rsidR="00E9701A" w:rsidRDefault="00E9701A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налогу на доходы физических лиц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F1857">
        <w:rPr>
          <w:rFonts w:ascii="Times New Roman" w:hAnsi="Times New Roman"/>
          <w:sz w:val="24"/>
          <w:szCs w:val="24"/>
          <w:lang w:eastAsia="ru-RU"/>
        </w:rPr>
        <w:t>2619,3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DF1857">
        <w:rPr>
          <w:rFonts w:ascii="Times New Roman" w:hAnsi="Times New Roman"/>
          <w:sz w:val="24"/>
          <w:szCs w:val="24"/>
          <w:lang w:eastAsia="ru-RU"/>
        </w:rPr>
        <w:t>9,8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490D85" w:rsidRDefault="00E9701A" w:rsidP="00E9701A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9701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DF1857">
        <w:rPr>
          <w:rFonts w:ascii="Times New Roman" w:eastAsia="TimesNewRomanPSMT" w:hAnsi="Times New Roman"/>
          <w:sz w:val="24"/>
          <w:szCs w:val="24"/>
          <w:lang w:eastAsia="ru-RU"/>
        </w:rPr>
        <w:t>843,5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DF1857">
        <w:rPr>
          <w:rFonts w:ascii="Times New Roman" w:eastAsia="TimesNewRomanPSMT" w:hAnsi="Times New Roman"/>
          <w:sz w:val="24"/>
          <w:szCs w:val="24"/>
          <w:lang w:eastAsia="ru-RU"/>
        </w:rPr>
        <w:t>20,6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490D85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490D85" w:rsidRPr="00C52F58" w:rsidRDefault="00E9701A" w:rsidP="00490D85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в сравнении с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DF1857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490D85">
        <w:rPr>
          <w:rFonts w:ascii="Times New Roman" w:hAnsi="Times New Roman"/>
          <w:sz w:val="24"/>
          <w:szCs w:val="24"/>
          <w:lang w:eastAsia="ru-RU"/>
        </w:rPr>
        <w:t>.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90D85">
        <w:rPr>
          <w:rFonts w:ascii="Times New Roman" w:hAnsi="Times New Roman"/>
          <w:sz w:val="24"/>
          <w:szCs w:val="24"/>
          <w:lang w:eastAsia="ru-RU"/>
        </w:rPr>
        <w:t>6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года показа</w:t>
      </w:r>
      <w:r w:rsidR="00490D85">
        <w:rPr>
          <w:rFonts w:ascii="Times New Roman" w:hAnsi="Times New Roman"/>
          <w:sz w:val="24"/>
          <w:szCs w:val="24"/>
          <w:lang w:eastAsia="ru-RU"/>
        </w:rPr>
        <w:t>тели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D85">
        <w:rPr>
          <w:rFonts w:ascii="Times New Roman" w:hAnsi="Times New Roman"/>
          <w:sz w:val="24"/>
          <w:szCs w:val="24"/>
          <w:lang w:eastAsia="ru-RU"/>
        </w:rPr>
        <w:t>увеличены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 121,</w:t>
      </w:r>
      <w:r w:rsidR="00DF1857">
        <w:rPr>
          <w:rFonts w:ascii="Times New Roman" w:hAnsi="Times New Roman"/>
          <w:sz w:val="24"/>
          <w:szCs w:val="24"/>
          <w:lang w:eastAsia="ru-RU"/>
        </w:rPr>
        <w:t>5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490D85">
        <w:rPr>
          <w:rFonts w:ascii="Times New Roman" w:hAnsi="Times New Roman"/>
          <w:sz w:val="24"/>
          <w:szCs w:val="24"/>
          <w:lang w:eastAsia="ru-RU"/>
        </w:rPr>
        <w:t>47,1%.</w:t>
      </w:r>
    </w:p>
    <w:p w:rsidR="00E9701A" w:rsidRPr="00C52F58" w:rsidRDefault="00E9701A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Снижение произошло</w:t>
      </w:r>
      <w:r w:rsidRPr="00E970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DF1857">
        <w:rPr>
          <w:rFonts w:ascii="Times New Roman" w:hAnsi="Times New Roman"/>
          <w:sz w:val="24"/>
          <w:szCs w:val="24"/>
          <w:lang w:eastAsia="ru-RU"/>
        </w:rPr>
        <w:t>2036,8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DF1857">
        <w:rPr>
          <w:rFonts w:ascii="Times New Roman" w:hAnsi="Times New Roman"/>
          <w:sz w:val="24"/>
          <w:szCs w:val="24"/>
          <w:lang w:eastAsia="ru-RU"/>
        </w:rPr>
        <w:t>15,1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%. По земельному налогу  поступило </w:t>
      </w:r>
      <w:r w:rsidR="00DF1857">
        <w:rPr>
          <w:rFonts w:ascii="Times New Roman" w:hAnsi="Times New Roman"/>
          <w:sz w:val="24"/>
          <w:szCs w:val="24"/>
          <w:lang w:eastAsia="ru-RU"/>
        </w:rPr>
        <w:t>10149,5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DF1857">
        <w:rPr>
          <w:rFonts w:ascii="Times New Roman" w:hAnsi="Times New Roman"/>
          <w:sz w:val="24"/>
          <w:szCs w:val="24"/>
          <w:lang w:eastAsia="ru-RU"/>
        </w:rPr>
        <w:t>34,1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% от плановых показателей, а по налогу на имущество  исполнено </w:t>
      </w:r>
      <w:r w:rsidR="00DF1857">
        <w:rPr>
          <w:rFonts w:ascii="Times New Roman" w:hAnsi="Times New Roman"/>
          <w:sz w:val="24"/>
          <w:szCs w:val="24"/>
          <w:lang w:eastAsia="ru-RU"/>
        </w:rPr>
        <w:t>1289,3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DF1857">
        <w:rPr>
          <w:rFonts w:ascii="Times New Roman" w:hAnsi="Times New Roman"/>
          <w:sz w:val="24"/>
          <w:szCs w:val="24"/>
          <w:lang w:eastAsia="ru-RU"/>
        </w:rPr>
        <w:t>15,0</w:t>
      </w:r>
      <w:r w:rsidR="000C2336">
        <w:rPr>
          <w:rFonts w:ascii="Times New Roman" w:hAnsi="Times New Roman"/>
          <w:sz w:val="24"/>
          <w:szCs w:val="24"/>
          <w:lang w:eastAsia="ru-RU"/>
        </w:rPr>
        <w:t>%.</w:t>
      </w: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253B0">
        <w:rPr>
          <w:rFonts w:ascii="Times New Roman" w:hAnsi="Times New Roman"/>
          <w:sz w:val="24"/>
          <w:szCs w:val="24"/>
          <w:lang w:eastAsia="ru-RU"/>
        </w:rPr>
        <w:t xml:space="preserve">полугодие </w:t>
      </w:r>
      <w:r w:rsidRPr="00C52F58">
        <w:rPr>
          <w:rFonts w:ascii="Times New Roman" w:hAnsi="Times New Roman"/>
          <w:sz w:val="24"/>
          <w:szCs w:val="24"/>
          <w:lang w:eastAsia="ru-RU"/>
        </w:rPr>
        <w:t>201</w:t>
      </w:r>
      <w:r w:rsidR="004E5E52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4E5E52">
        <w:rPr>
          <w:rFonts w:ascii="Times New Roman" w:hAnsi="Times New Roman"/>
          <w:bCs/>
          <w:sz w:val="24"/>
          <w:szCs w:val="24"/>
          <w:lang w:eastAsia="ru-RU"/>
        </w:rPr>
        <w:t>6024,2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4E5E52">
        <w:rPr>
          <w:rFonts w:ascii="Times New Roman" w:hAnsi="Times New Roman"/>
          <w:bCs/>
          <w:sz w:val="24"/>
          <w:szCs w:val="24"/>
          <w:lang w:eastAsia="ru-RU"/>
        </w:rPr>
        <w:t>58,3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D847DE" w:rsidRDefault="00D847DE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E13E9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4E5E5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8C27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C2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4E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4E5E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4E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8C27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4E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8C273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8C2737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4E5E52">
              <w:rPr>
                <w:rFonts w:ascii="Times New Roman" w:hAnsi="Times New Roman"/>
              </w:rPr>
              <w:t>6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E5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2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098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111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343" w:type="dxa"/>
            <w:vAlign w:val="center"/>
          </w:tcPr>
          <w:p w:rsidR="004E5E52" w:rsidRPr="00C04A87" w:rsidRDefault="001D358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6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2821,7</w:t>
            </w:r>
          </w:p>
        </w:tc>
      </w:tr>
      <w:tr w:rsidR="004E5E5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4E5E52" w:rsidRPr="00C04A87" w:rsidRDefault="0019375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3583,2</w:t>
            </w:r>
          </w:p>
        </w:tc>
        <w:tc>
          <w:tcPr>
            <w:tcW w:w="1372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5954,3</w:t>
            </w:r>
          </w:p>
        </w:tc>
        <w:tc>
          <w:tcPr>
            <w:tcW w:w="1098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4081,8</w:t>
            </w:r>
          </w:p>
        </w:tc>
        <w:tc>
          <w:tcPr>
            <w:tcW w:w="1111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43" w:type="dxa"/>
            <w:vAlign w:val="center"/>
          </w:tcPr>
          <w:p w:rsidR="004E5E52" w:rsidRPr="00C04A87" w:rsidRDefault="00E9367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046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4E5E5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4E5E52" w:rsidRPr="00C04A87" w:rsidRDefault="0019375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2008,6</w:t>
            </w:r>
          </w:p>
        </w:tc>
        <w:tc>
          <w:tcPr>
            <w:tcW w:w="1372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4109,4</w:t>
            </w:r>
          </w:p>
        </w:tc>
        <w:tc>
          <w:tcPr>
            <w:tcW w:w="1098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3420,3</w:t>
            </w:r>
          </w:p>
        </w:tc>
        <w:tc>
          <w:tcPr>
            <w:tcW w:w="1111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43" w:type="dxa"/>
            <w:vAlign w:val="center"/>
          </w:tcPr>
          <w:p w:rsidR="004E5E52" w:rsidRPr="00C04A87" w:rsidRDefault="00E9367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46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4E5E52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4E5E52" w:rsidRPr="00C04A87" w:rsidRDefault="0019375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1372" w:type="dxa"/>
            <w:vAlign w:val="center"/>
          </w:tcPr>
          <w:p w:rsidR="004E5E52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E52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419,3</w:t>
            </w:r>
          </w:p>
          <w:p w:rsidR="004E5E52" w:rsidRPr="00C04A87" w:rsidRDefault="004E5E52" w:rsidP="004E5E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111" w:type="dxa"/>
            <w:vAlign w:val="center"/>
          </w:tcPr>
          <w:p w:rsidR="004E5E52" w:rsidRPr="00C04A87" w:rsidRDefault="0019375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43" w:type="dxa"/>
            <w:vAlign w:val="center"/>
          </w:tcPr>
          <w:p w:rsidR="004E5E52" w:rsidRPr="00D847DE" w:rsidRDefault="00E9367B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46" w:type="dxa"/>
            <w:vAlign w:val="center"/>
          </w:tcPr>
          <w:p w:rsidR="004E5E52" w:rsidRPr="00C52F58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E5E52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4E5E52" w:rsidRPr="00C04A87" w:rsidRDefault="0019375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372" w:type="dxa"/>
            <w:vAlign w:val="center"/>
          </w:tcPr>
          <w:p w:rsidR="004E5E52" w:rsidRPr="00C04A87" w:rsidRDefault="004E5E5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8" w:type="dxa"/>
            <w:vAlign w:val="center"/>
          </w:tcPr>
          <w:p w:rsidR="004E5E52" w:rsidRPr="00C04A87" w:rsidRDefault="0019375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11" w:type="dxa"/>
            <w:vAlign w:val="center"/>
          </w:tcPr>
          <w:p w:rsidR="004E5E52" w:rsidRPr="00C04A87" w:rsidRDefault="0019375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343" w:type="dxa"/>
            <w:vAlign w:val="center"/>
          </w:tcPr>
          <w:p w:rsidR="004E5E52" w:rsidRPr="00D847DE" w:rsidRDefault="001D358A" w:rsidP="00E936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367B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46" w:type="dxa"/>
            <w:vAlign w:val="center"/>
          </w:tcPr>
          <w:p w:rsidR="004E5E52" w:rsidRPr="00C52F58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4E5E52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4E5E52" w:rsidRPr="00C52F58" w:rsidRDefault="004E5E5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4E5E52" w:rsidRPr="00C04A87" w:rsidRDefault="0019375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6617,3</w:t>
            </w:r>
          </w:p>
        </w:tc>
        <w:tc>
          <w:tcPr>
            <w:tcW w:w="1372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11064,1</w:t>
            </w:r>
          </w:p>
        </w:tc>
        <w:tc>
          <w:tcPr>
            <w:tcW w:w="1098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8259,2</w:t>
            </w:r>
          </w:p>
        </w:tc>
        <w:tc>
          <w:tcPr>
            <w:tcW w:w="1111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43" w:type="dxa"/>
            <w:vAlign w:val="center"/>
          </w:tcPr>
          <w:p w:rsidR="004E5E52" w:rsidRPr="00C04A87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4E5E52" w:rsidRPr="00C04A87" w:rsidRDefault="008C273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</w:tbl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854A99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72F22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</w:t>
      </w:r>
      <w:r w:rsidR="00854A99" w:rsidRPr="00854A99">
        <w:t xml:space="preserve"> </w:t>
      </w:r>
      <w:r w:rsidR="00854A99">
        <w:rPr>
          <w:rFonts w:ascii="Times New Roman" w:hAnsi="Times New Roman"/>
          <w:sz w:val="24"/>
          <w:szCs w:val="24"/>
          <w:lang w:eastAsia="ru-RU"/>
        </w:rPr>
        <w:t>д</w:t>
      </w:r>
      <w:r w:rsidR="00854A99" w:rsidRPr="00854A99">
        <w:rPr>
          <w:rFonts w:ascii="Times New Roman" w:hAnsi="Times New Roman"/>
          <w:sz w:val="24"/>
          <w:szCs w:val="24"/>
          <w:lang w:eastAsia="ru-RU"/>
        </w:rPr>
        <w:t>оходы от использования имущества, находящегося в государственной и муниципальной собственности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54A99">
        <w:rPr>
          <w:rFonts w:ascii="Times New Roman" w:hAnsi="Times New Roman"/>
          <w:sz w:val="24"/>
          <w:szCs w:val="24"/>
          <w:lang w:eastAsia="ru-RU"/>
        </w:rPr>
        <w:t>49,4</w:t>
      </w:r>
      <w:r w:rsidRPr="00C52F58">
        <w:rPr>
          <w:rFonts w:ascii="Times New Roman" w:hAnsi="Times New Roman"/>
          <w:sz w:val="24"/>
          <w:szCs w:val="24"/>
          <w:lang w:eastAsia="ru-RU"/>
        </w:rPr>
        <w:t>% (</w:t>
      </w:r>
      <w:r w:rsidR="00854A99">
        <w:rPr>
          <w:rFonts w:ascii="Times New Roman" w:hAnsi="Times New Roman"/>
          <w:sz w:val="24"/>
          <w:szCs w:val="24"/>
          <w:lang w:eastAsia="ru-RU"/>
        </w:rPr>
        <w:t>4081,8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F46188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неналоговые доходы </w:t>
      </w:r>
      <w:r w:rsidR="00D847DE">
        <w:rPr>
          <w:rFonts w:ascii="Times New Roman" w:hAnsi="Times New Roman"/>
          <w:sz w:val="24"/>
          <w:szCs w:val="24"/>
          <w:lang w:eastAsia="ru-RU"/>
        </w:rPr>
        <w:t>увеличились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54A99">
        <w:rPr>
          <w:rFonts w:ascii="Times New Roman" w:hAnsi="Times New Roman"/>
          <w:sz w:val="24"/>
          <w:szCs w:val="24"/>
          <w:lang w:eastAsia="ru-RU"/>
        </w:rPr>
        <w:t>1641,9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854A99">
        <w:rPr>
          <w:rFonts w:ascii="Times New Roman" w:hAnsi="Times New Roman"/>
          <w:sz w:val="24"/>
          <w:szCs w:val="24"/>
          <w:lang w:eastAsia="ru-RU"/>
        </w:rPr>
        <w:t>24,8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Значительно увеличены  поступления по доходам  </w:t>
      </w:r>
      <w:r w:rsidR="008C6F59" w:rsidRPr="00434EEE">
        <w:rPr>
          <w:rFonts w:ascii="Times New Roman" w:hAnsi="Times New Roman"/>
          <w:sz w:val="26"/>
          <w:szCs w:val="26"/>
          <w:lang w:eastAsia="ru-RU"/>
        </w:rPr>
        <w:t>от использования имущества, находящегося в государственной и муниципальной собственности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3D0831">
        <w:rPr>
          <w:rFonts w:ascii="Times New Roman" w:hAnsi="Times New Roman"/>
          <w:sz w:val="26"/>
          <w:szCs w:val="26"/>
          <w:lang w:eastAsia="ru-RU"/>
        </w:rPr>
        <w:t>498,6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тыс. рублей или на </w:t>
      </w:r>
      <w:r w:rsidR="003D0831">
        <w:rPr>
          <w:rFonts w:ascii="Times New Roman" w:hAnsi="Times New Roman"/>
          <w:sz w:val="26"/>
          <w:szCs w:val="26"/>
          <w:lang w:eastAsia="ru-RU"/>
        </w:rPr>
        <w:t>13,9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%  и 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от продажи </w:t>
      </w:r>
      <w:r w:rsidR="00D847DE" w:rsidRPr="00C52F58">
        <w:rPr>
          <w:rFonts w:ascii="Times New Roman" w:hAnsi="Times New Roman"/>
          <w:sz w:val="24"/>
          <w:szCs w:val="24"/>
          <w:lang w:eastAsia="ru-RU"/>
        </w:rPr>
        <w:t>материальных и нематериальных активов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D0831">
        <w:rPr>
          <w:rFonts w:ascii="Times New Roman" w:hAnsi="Times New Roman"/>
          <w:sz w:val="24"/>
          <w:szCs w:val="24"/>
          <w:lang w:eastAsia="ru-RU"/>
        </w:rPr>
        <w:t>1411,7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3D0831">
        <w:rPr>
          <w:rFonts w:ascii="Times New Roman" w:hAnsi="Times New Roman"/>
          <w:sz w:val="24"/>
          <w:szCs w:val="24"/>
          <w:lang w:eastAsia="ru-RU"/>
        </w:rPr>
        <w:t>70,3</w:t>
      </w:r>
      <w:r w:rsidR="00D847DE">
        <w:rPr>
          <w:rFonts w:ascii="Times New Roman" w:hAnsi="Times New Roman"/>
          <w:sz w:val="24"/>
          <w:szCs w:val="24"/>
          <w:lang w:eastAsia="ru-RU"/>
        </w:rPr>
        <w:t>%.</w:t>
      </w:r>
      <w:r w:rsidR="008C6F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При этом </w:t>
      </w:r>
      <w:r w:rsidR="008C6F59" w:rsidRPr="00C52F58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доходов по штрафам, санкциям</w:t>
      </w:r>
      <w:proofErr w:type="gramEnd"/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D0831">
        <w:rPr>
          <w:rFonts w:ascii="Times New Roman" w:hAnsi="Times New Roman"/>
          <w:sz w:val="24"/>
          <w:szCs w:val="24"/>
          <w:lang w:eastAsia="ru-RU"/>
        </w:rPr>
        <w:t>508,1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3D0831">
        <w:rPr>
          <w:rFonts w:ascii="Times New Roman" w:hAnsi="Times New Roman"/>
          <w:sz w:val="24"/>
          <w:szCs w:val="24"/>
          <w:lang w:eastAsia="ru-RU"/>
        </w:rPr>
        <w:t>71,7</w:t>
      </w:r>
      <w:r w:rsidR="00C8286D">
        <w:rPr>
          <w:rFonts w:ascii="Times New Roman" w:hAnsi="Times New Roman"/>
          <w:sz w:val="24"/>
          <w:szCs w:val="24"/>
          <w:lang w:eastAsia="ru-RU"/>
        </w:rPr>
        <w:t>%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6C3327">
        <w:rPr>
          <w:rFonts w:ascii="Times New Roman" w:hAnsi="Times New Roman"/>
          <w:bCs/>
          <w:sz w:val="24"/>
          <w:szCs w:val="24"/>
          <w:lang w:eastAsia="ru-RU"/>
        </w:rPr>
        <w:t>105030,0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руб. при утвержденном бюджете на год в сумме </w:t>
      </w:r>
      <w:r w:rsidR="006C3327">
        <w:rPr>
          <w:rFonts w:ascii="Times New Roman" w:hAnsi="Times New Roman"/>
          <w:bCs/>
          <w:sz w:val="24"/>
          <w:szCs w:val="24"/>
          <w:lang w:eastAsia="ru-RU"/>
        </w:rPr>
        <w:t>417660,5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6C3327">
        <w:rPr>
          <w:rFonts w:ascii="Times New Roman" w:hAnsi="Times New Roman"/>
          <w:bCs/>
          <w:sz w:val="24"/>
          <w:szCs w:val="24"/>
          <w:lang w:eastAsia="ru-RU"/>
        </w:rPr>
        <w:t>25,1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%, из них: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="000623B0" w:rsidRPr="00C52F58">
        <w:rPr>
          <w:rFonts w:ascii="Times New Roman" w:hAnsi="Times New Roman"/>
          <w:bCs/>
          <w:sz w:val="24"/>
          <w:szCs w:val="24"/>
          <w:lang w:eastAsia="ru-RU"/>
        </w:rPr>
        <w:t>поступило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 xml:space="preserve"> субсидии  на переселение граждан из ветхого и аварийного жилья </w:t>
      </w:r>
      <w:r w:rsidR="006C3327" w:rsidRPr="00735F6C">
        <w:rPr>
          <w:rFonts w:ascii="Times New Roman" w:hAnsi="Times New Roman"/>
          <w:bCs/>
          <w:sz w:val="24"/>
          <w:szCs w:val="24"/>
          <w:lang w:eastAsia="ru-RU"/>
        </w:rPr>
        <w:t>104123,7</w:t>
      </w: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рублей;</w:t>
      </w:r>
    </w:p>
    <w:p w:rsidR="00735F6C" w:rsidRDefault="00735F6C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-   субсидии на реализацию муниципальной целевой программы «Молодым семьям – доступное жилье» </w:t>
      </w:r>
      <w:r w:rsidR="00385A38">
        <w:rPr>
          <w:rFonts w:ascii="Times New Roman" w:hAnsi="Times New Roman"/>
          <w:bCs/>
          <w:sz w:val="24"/>
          <w:szCs w:val="24"/>
          <w:lang w:eastAsia="ru-RU"/>
        </w:rPr>
        <w:t>всего 1153,2 тыс. рублей, в том числе</w:t>
      </w: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  из федерального бюджета </w:t>
      </w:r>
      <w:r w:rsidR="00385A38">
        <w:rPr>
          <w:rFonts w:ascii="Times New Roman" w:hAnsi="Times New Roman"/>
          <w:bCs/>
          <w:sz w:val="24"/>
          <w:szCs w:val="24"/>
          <w:lang w:eastAsia="ru-RU"/>
        </w:rPr>
        <w:t>619,4</w:t>
      </w: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385A38">
        <w:rPr>
          <w:rFonts w:ascii="Times New Roman" w:hAnsi="Times New Roman"/>
          <w:bCs/>
          <w:sz w:val="24"/>
          <w:szCs w:val="24"/>
          <w:lang w:eastAsia="ru-RU"/>
        </w:rPr>
        <w:t>,  из областного – 533,8 тыс. рублей;</w:t>
      </w:r>
      <w:proofErr w:type="gramEnd"/>
    </w:p>
    <w:p w:rsidR="006C3327" w:rsidRDefault="006C3327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3327">
        <w:rPr>
          <w:rFonts w:ascii="Times New Roman" w:hAnsi="Times New Roman"/>
          <w:bCs/>
          <w:sz w:val="24"/>
          <w:szCs w:val="24"/>
          <w:lang w:eastAsia="ru-RU"/>
        </w:rPr>
        <w:t>-  субвенции бюджетам поселений на выполнение передаваемых полномочий (Служба по тарифам Иркутской области)  - 8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6C3327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C3327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0D401B" w:rsidRPr="00C8286D" w:rsidRDefault="00C8286D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>возвращены остатки субсидии прошлых лет – 334,2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5A38">
        <w:rPr>
          <w:rFonts w:ascii="Times New Roman" w:hAnsi="Times New Roman"/>
          <w:sz w:val="24"/>
          <w:szCs w:val="24"/>
          <w:lang w:eastAsia="ru-RU"/>
        </w:rPr>
        <w:t>164676,6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385A38">
        <w:rPr>
          <w:rFonts w:ascii="Times New Roman" w:hAnsi="Times New Roman"/>
          <w:sz w:val="24"/>
          <w:szCs w:val="24"/>
          <w:lang w:eastAsia="ru-RU"/>
        </w:rPr>
        <w:t>561092,9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385A38">
        <w:rPr>
          <w:rFonts w:ascii="Times New Roman" w:hAnsi="Times New Roman"/>
          <w:sz w:val="24"/>
          <w:szCs w:val="24"/>
          <w:lang w:eastAsia="ru-RU"/>
        </w:rPr>
        <w:t>29,3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986A0F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 произведенных расходов местного бюджета на </w:t>
      </w:r>
      <w:r w:rsidR="00385A38">
        <w:rPr>
          <w:rFonts w:ascii="Times New Roman" w:hAnsi="Times New Roman"/>
          <w:sz w:val="24"/>
          <w:szCs w:val="24"/>
          <w:lang w:eastAsia="ru-RU"/>
        </w:rPr>
        <w:t>72,3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986A0F">
        <w:rPr>
          <w:rFonts w:ascii="Times New Roman" w:hAnsi="Times New Roman"/>
          <w:sz w:val="24"/>
          <w:szCs w:val="24"/>
          <w:lang w:eastAsia="ru-RU"/>
        </w:rPr>
        <w:t>рост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>
        <w:rPr>
          <w:rFonts w:ascii="Times New Roman" w:hAnsi="Times New Roman"/>
          <w:sz w:val="24"/>
          <w:szCs w:val="24"/>
          <w:lang w:eastAsia="ru-RU"/>
        </w:rPr>
        <w:t>составил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5A38">
        <w:rPr>
          <w:rFonts w:ascii="Times New Roman" w:hAnsi="Times New Roman"/>
          <w:sz w:val="24"/>
          <w:szCs w:val="24"/>
          <w:lang w:eastAsia="ru-RU"/>
        </w:rPr>
        <w:t>118962,9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787B1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787B1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787B1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787B18" w:rsidRDefault="00EB4EEB" w:rsidP="004F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4F0DCE" w:rsidRPr="00787B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787B18" w:rsidRDefault="00EB4EEB" w:rsidP="00787B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D74D00"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4F0DCE"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787B1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87B1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85A38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57781,8</w:t>
            </w:r>
            <w:r w:rsidR="00EB4EEB"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85A3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85A3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4F0DCE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DCE">
              <w:rPr>
                <w:rFonts w:ascii="Times New Roman" w:hAnsi="Times New Roman"/>
                <w:sz w:val="24"/>
                <w:szCs w:val="24"/>
              </w:rPr>
              <w:t>32909,3</w:t>
            </w: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385A3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85A38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85A3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47569,8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85A3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85A3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25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25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2D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44031,8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387843,7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114173,4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356829,4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108462,8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EB4EEB" w:rsidRPr="00C52F58" w:rsidTr="00EB4EEB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74D0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26BA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91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252D9F">
            <w:pPr>
              <w:tabs>
                <w:tab w:val="left" w:pos="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91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9277,8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общественые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3849,8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561092,9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52D9F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164676,6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52D9F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787B18">
        <w:rPr>
          <w:rFonts w:ascii="Times New Roman" w:hAnsi="Times New Roman"/>
          <w:sz w:val="24"/>
          <w:szCs w:val="24"/>
        </w:rPr>
        <w:t>29598,8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787B18">
        <w:rPr>
          <w:rFonts w:ascii="Times New Roman" w:hAnsi="Times New Roman"/>
          <w:sz w:val="24"/>
          <w:szCs w:val="24"/>
        </w:rPr>
        <w:t>57781,8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787B18">
        <w:rPr>
          <w:rFonts w:ascii="Times New Roman" w:hAnsi="Times New Roman"/>
          <w:sz w:val="24"/>
          <w:szCs w:val="24"/>
        </w:rPr>
        <w:t>51,2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787B18">
        <w:rPr>
          <w:rFonts w:ascii="Times New Roman" w:hAnsi="Times New Roman"/>
          <w:sz w:val="24"/>
          <w:szCs w:val="24"/>
        </w:rPr>
        <w:t>16309,1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787B18">
        <w:rPr>
          <w:rFonts w:ascii="Times New Roman" w:hAnsi="Times New Roman"/>
          <w:sz w:val="24"/>
          <w:szCs w:val="24"/>
        </w:rPr>
        <w:t>49,6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>бюджетные ассигнования</w:t>
      </w:r>
      <w:r w:rsidR="00787B18">
        <w:rPr>
          <w:rFonts w:ascii="Times New Roman" w:hAnsi="Times New Roman"/>
          <w:sz w:val="24"/>
          <w:szCs w:val="24"/>
        </w:rPr>
        <w:t xml:space="preserve"> исполнены в сумме 16309,1 тыс. рублей и </w:t>
      </w:r>
      <w:r w:rsidR="00BD0060">
        <w:rPr>
          <w:rFonts w:ascii="Times New Roman" w:hAnsi="Times New Roman"/>
          <w:sz w:val="24"/>
          <w:szCs w:val="24"/>
        </w:rPr>
        <w:t xml:space="preserve">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2E2A8B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2E2A8B">
        <w:rPr>
          <w:rFonts w:ascii="Times New Roman" w:hAnsi="Times New Roman"/>
          <w:sz w:val="24"/>
          <w:szCs w:val="24"/>
        </w:rPr>
        <w:t>146,7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2E2A8B">
        <w:rPr>
          <w:rFonts w:ascii="Times New Roman" w:hAnsi="Times New Roman"/>
          <w:sz w:val="24"/>
          <w:szCs w:val="24"/>
        </w:rPr>
        <w:t>29,3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473B18">
        <w:rPr>
          <w:rFonts w:ascii="Times New Roman" w:hAnsi="Times New Roman"/>
          <w:sz w:val="24"/>
          <w:szCs w:val="24"/>
        </w:rPr>
        <w:t>500,0</w:t>
      </w:r>
      <w:r w:rsidR="00F07935">
        <w:rPr>
          <w:rFonts w:ascii="Times New Roman" w:hAnsi="Times New Roman"/>
          <w:sz w:val="24"/>
          <w:szCs w:val="24"/>
        </w:rPr>
        <w:t xml:space="preserve"> тыс. рублей.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 w:rsidR="002E2A8B">
        <w:rPr>
          <w:rFonts w:ascii="Times New Roman" w:hAnsi="Times New Roman"/>
          <w:sz w:val="24"/>
          <w:szCs w:val="24"/>
        </w:rPr>
        <w:t>471,9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E2A8B">
        <w:rPr>
          <w:rFonts w:ascii="Times New Roman" w:hAnsi="Times New Roman"/>
          <w:sz w:val="24"/>
          <w:szCs w:val="24"/>
        </w:rPr>
        <w:t>48,5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2E2A8B">
        <w:rPr>
          <w:rFonts w:ascii="Times New Roman" w:hAnsi="Times New Roman"/>
          <w:sz w:val="24"/>
          <w:szCs w:val="24"/>
        </w:rPr>
        <w:t>7628,4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E2A8B">
        <w:rPr>
          <w:rFonts w:ascii="Times New Roman" w:hAnsi="Times New Roman"/>
          <w:sz w:val="24"/>
          <w:szCs w:val="24"/>
        </w:rPr>
        <w:t>17,3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2E2A8B">
        <w:rPr>
          <w:rFonts w:ascii="Times New Roman" w:hAnsi="Times New Roman"/>
          <w:sz w:val="24"/>
          <w:szCs w:val="24"/>
        </w:rPr>
        <w:t>44031,8</w:t>
      </w:r>
      <w:r w:rsidR="0063350F">
        <w:rPr>
          <w:rFonts w:ascii="Times New Roman" w:hAnsi="Times New Roman"/>
          <w:sz w:val="24"/>
          <w:szCs w:val="24"/>
        </w:rPr>
        <w:t>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</w:t>
      </w:r>
      <w:r w:rsidR="002E2A8B">
        <w:rPr>
          <w:rFonts w:ascii="Times New Roman" w:hAnsi="Times New Roman"/>
          <w:sz w:val="24"/>
          <w:szCs w:val="24"/>
        </w:rPr>
        <w:t>июле-августе</w:t>
      </w:r>
      <w:r w:rsidR="00D04A0C">
        <w:rPr>
          <w:rFonts w:ascii="Times New Roman" w:hAnsi="Times New Roman"/>
          <w:sz w:val="24"/>
          <w:szCs w:val="24"/>
        </w:rPr>
        <w:t xml:space="preserve"> основной объем бюджетных ассигнований  будет направлен </w:t>
      </w:r>
      <w:r w:rsidR="002F450A" w:rsidRPr="00C52F58">
        <w:rPr>
          <w:rFonts w:ascii="Times New Roman" w:hAnsi="Times New Roman"/>
          <w:sz w:val="24"/>
          <w:szCs w:val="24"/>
        </w:rPr>
        <w:t>на ремонт улично-дорожной сети.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2E2A8B">
        <w:rPr>
          <w:rFonts w:ascii="Times New Roman" w:hAnsi="Times New Roman"/>
          <w:sz w:val="24"/>
          <w:szCs w:val="24"/>
        </w:rPr>
        <w:t>520,7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E2A8B">
        <w:rPr>
          <w:rFonts w:ascii="Times New Roman" w:hAnsi="Times New Roman"/>
          <w:sz w:val="24"/>
          <w:szCs w:val="24"/>
        </w:rPr>
        <w:t>27,8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2E2A8B">
        <w:rPr>
          <w:rFonts w:ascii="Times New Roman" w:hAnsi="Times New Roman"/>
          <w:sz w:val="24"/>
          <w:szCs w:val="24"/>
        </w:rPr>
        <w:t>114173,4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2E2A8B">
        <w:rPr>
          <w:rFonts w:ascii="Times New Roman" w:hAnsi="Times New Roman"/>
          <w:sz w:val="24"/>
          <w:szCs w:val="24"/>
        </w:rPr>
        <w:t>387843,7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E2A8B">
        <w:rPr>
          <w:rFonts w:ascii="Times New Roman" w:hAnsi="Times New Roman"/>
          <w:sz w:val="24"/>
          <w:szCs w:val="24"/>
        </w:rPr>
        <w:t>29,4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2E2A8B">
        <w:rPr>
          <w:rFonts w:ascii="Times New Roman" w:hAnsi="Times New Roman"/>
          <w:sz w:val="24"/>
          <w:szCs w:val="24"/>
        </w:rPr>
        <w:t>356829,4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2E2A8B">
        <w:rPr>
          <w:rFonts w:ascii="Times New Roman" w:hAnsi="Times New Roman"/>
          <w:sz w:val="24"/>
          <w:szCs w:val="24"/>
        </w:rPr>
        <w:t>108462,8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E2A8B">
        <w:rPr>
          <w:rFonts w:ascii="Times New Roman" w:hAnsi="Times New Roman"/>
          <w:sz w:val="24"/>
          <w:szCs w:val="24"/>
        </w:rPr>
        <w:t>30,4</w:t>
      </w:r>
      <w:r w:rsidRPr="00C52F58">
        <w:rPr>
          <w:rFonts w:ascii="Times New Roman" w:hAnsi="Times New Roman"/>
          <w:sz w:val="24"/>
          <w:szCs w:val="24"/>
        </w:rPr>
        <w:t>%</w:t>
      </w:r>
      <w:r w:rsidR="002E2A8B">
        <w:rPr>
          <w:rFonts w:ascii="Times New Roman" w:hAnsi="Times New Roman"/>
          <w:sz w:val="24"/>
          <w:szCs w:val="24"/>
        </w:rPr>
        <w:t>. Бюджетные ассигнования направлены на реализацию программы переселения граждан из ветхого и аварийного жилья из областного бюджета – 105970,0 тыс. рублей и местного – 1392 тыс. рублей.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не исполнены 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местном бюджете на год </w:t>
      </w:r>
      <w:r w:rsidR="002E2A8B">
        <w:rPr>
          <w:rFonts w:ascii="Times New Roman" w:hAnsi="Times New Roman"/>
          <w:sz w:val="24"/>
          <w:szCs w:val="24"/>
        </w:rPr>
        <w:t>21999,1</w:t>
      </w:r>
      <w:r w:rsidRPr="00C52F58">
        <w:rPr>
          <w:rFonts w:ascii="Times New Roman" w:hAnsi="Times New Roman"/>
          <w:sz w:val="24"/>
          <w:szCs w:val="24"/>
        </w:rPr>
        <w:t xml:space="preserve">тыс. рублей;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2E2A8B">
        <w:rPr>
          <w:rFonts w:ascii="Times New Roman" w:hAnsi="Times New Roman"/>
          <w:sz w:val="24"/>
          <w:szCs w:val="24"/>
        </w:rPr>
        <w:t>5710,6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473B18">
        <w:rPr>
          <w:rFonts w:ascii="Times New Roman" w:hAnsi="Times New Roman"/>
          <w:sz w:val="24"/>
          <w:szCs w:val="24"/>
        </w:rPr>
        <w:t>9</w:t>
      </w:r>
      <w:r w:rsidR="002E2A8B">
        <w:rPr>
          <w:rFonts w:ascii="Times New Roman" w:hAnsi="Times New Roman"/>
          <w:sz w:val="24"/>
          <w:szCs w:val="24"/>
        </w:rPr>
        <w:t>015,2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2E2A8B">
        <w:rPr>
          <w:rFonts w:ascii="Times New Roman" w:hAnsi="Times New Roman"/>
          <w:sz w:val="24"/>
          <w:szCs w:val="24"/>
        </w:rPr>
        <w:t>63,3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электроэнергия, </w:t>
      </w:r>
      <w:r w:rsidR="003267E9">
        <w:rPr>
          <w:rFonts w:ascii="Times New Roman" w:hAnsi="Times New Roman"/>
          <w:sz w:val="24"/>
          <w:szCs w:val="24"/>
        </w:rPr>
        <w:t xml:space="preserve">приобретение светильников, </w:t>
      </w:r>
      <w:r w:rsidRPr="00C52F58">
        <w:rPr>
          <w:rFonts w:ascii="Times New Roman" w:hAnsi="Times New Roman"/>
          <w:sz w:val="24"/>
          <w:szCs w:val="24"/>
        </w:rPr>
        <w:t>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2E8F">
        <w:rPr>
          <w:rFonts w:ascii="Times New Roman" w:hAnsi="Times New Roman"/>
          <w:sz w:val="24"/>
          <w:szCs w:val="24"/>
        </w:rPr>
        <w:t>сан</w:t>
      </w:r>
      <w:proofErr w:type="gramStart"/>
      <w:r w:rsidR="003A2E8F">
        <w:rPr>
          <w:rFonts w:ascii="Times New Roman" w:hAnsi="Times New Roman"/>
          <w:sz w:val="24"/>
          <w:szCs w:val="24"/>
        </w:rPr>
        <w:t>.о</w:t>
      </w:r>
      <w:proofErr w:type="gramEnd"/>
      <w:r w:rsidR="003A2E8F">
        <w:rPr>
          <w:rFonts w:ascii="Times New Roman" w:hAnsi="Times New Roman"/>
          <w:sz w:val="24"/>
          <w:szCs w:val="24"/>
        </w:rPr>
        <w:t>чистку</w:t>
      </w:r>
      <w:proofErr w:type="spellEnd"/>
      <w:r w:rsidR="003A2E8F">
        <w:rPr>
          <w:rFonts w:ascii="Times New Roman" w:hAnsi="Times New Roman"/>
          <w:sz w:val="24"/>
          <w:szCs w:val="24"/>
        </w:rPr>
        <w:t xml:space="preserve"> города, выкос травы, озеленение, спиливание деревьев, приобретение малых архитектурных форм на фонтаны,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площадок,  обслуж</w:t>
      </w:r>
      <w:r w:rsidR="00E62730">
        <w:rPr>
          <w:rFonts w:ascii="Times New Roman" w:hAnsi="Times New Roman"/>
          <w:sz w:val="24"/>
          <w:szCs w:val="24"/>
        </w:rPr>
        <w:t>ивание  трансформаторных подстанций и линий.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2E2A8B">
        <w:rPr>
          <w:rFonts w:ascii="Times New Roman" w:hAnsi="Times New Roman"/>
          <w:sz w:val="24"/>
          <w:szCs w:val="24"/>
        </w:rPr>
        <w:t>364,8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2E2A8B">
        <w:rPr>
          <w:rFonts w:ascii="Times New Roman" w:hAnsi="Times New Roman"/>
          <w:sz w:val="24"/>
          <w:szCs w:val="24"/>
        </w:rPr>
        <w:t>61,9</w:t>
      </w:r>
      <w:r w:rsidRPr="00C52F58">
        <w:rPr>
          <w:rFonts w:ascii="Times New Roman" w:hAnsi="Times New Roman"/>
          <w:sz w:val="24"/>
          <w:szCs w:val="24"/>
        </w:rPr>
        <w:t xml:space="preserve">%. Отражены расходы по проведению мероприятий для </w:t>
      </w:r>
      <w:r w:rsidR="003A2E8F" w:rsidRPr="00C52F58">
        <w:rPr>
          <w:rFonts w:ascii="Times New Roman" w:hAnsi="Times New Roman"/>
          <w:sz w:val="24"/>
          <w:szCs w:val="24"/>
        </w:rPr>
        <w:t>молодежи</w:t>
      </w:r>
      <w:r w:rsidR="003A2E8F">
        <w:rPr>
          <w:rFonts w:ascii="Times New Roman" w:hAnsi="Times New Roman"/>
          <w:sz w:val="24"/>
          <w:szCs w:val="24"/>
        </w:rPr>
        <w:t xml:space="preserve"> и</w:t>
      </w:r>
      <w:r w:rsidR="003A2E8F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детей.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3A2E8F">
        <w:rPr>
          <w:rFonts w:ascii="Times New Roman" w:hAnsi="Times New Roman"/>
          <w:sz w:val="24"/>
          <w:szCs w:val="24"/>
        </w:rPr>
        <w:t>9293,2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3A2E8F">
        <w:rPr>
          <w:rFonts w:ascii="Times New Roman" w:hAnsi="Times New Roman"/>
          <w:sz w:val="24"/>
          <w:szCs w:val="24"/>
        </w:rPr>
        <w:t>13253,6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3A2E8F">
        <w:rPr>
          <w:rFonts w:ascii="Times New Roman" w:hAnsi="Times New Roman"/>
          <w:sz w:val="24"/>
          <w:szCs w:val="24"/>
        </w:rPr>
        <w:t>47,5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3A2E8F">
        <w:rPr>
          <w:rFonts w:ascii="Times New Roman" w:hAnsi="Times New Roman"/>
          <w:sz w:val="24"/>
          <w:szCs w:val="24"/>
        </w:rPr>
        <w:t>5826,0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>
        <w:rPr>
          <w:rFonts w:ascii="Times New Roman" w:hAnsi="Times New Roman"/>
          <w:sz w:val="24"/>
          <w:szCs w:val="24"/>
        </w:rPr>
        <w:t>11608,6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A2E8F">
        <w:rPr>
          <w:rFonts w:ascii="Times New Roman" w:hAnsi="Times New Roman"/>
          <w:sz w:val="24"/>
          <w:szCs w:val="24"/>
        </w:rPr>
        <w:t>50,2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3A2E8F">
        <w:rPr>
          <w:rFonts w:ascii="Times New Roman" w:hAnsi="Times New Roman"/>
          <w:sz w:val="24"/>
          <w:szCs w:val="24"/>
        </w:rPr>
        <w:t>3842,5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>
        <w:rPr>
          <w:rFonts w:ascii="Times New Roman" w:hAnsi="Times New Roman"/>
          <w:sz w:val="24"/>
          <w:szCs w:val="24"/>
        </w:rPr>
        <w:t>7773,6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A2E8F">
        <w:rPr>
          <w:rFonts w:ascii="Times New Roman" w:hAnsi="Times New Roman"/>
          <w:sz w:val="24"/>
          <w:szCs w:val="24"/>
        </w:rPr>
        <w:t>49,4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3A2E8F">
        <w:rPr>
          <w:rFonts w:ascii="Times New Roman" w:hAnsi="Times New Roman"/>
          <w:sz w:val="24"/>
          <w:szCs w:val="24"/>
        </w:rPr>
        <w:t>467,2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3A2E8F">
        <w:rPr>
          <w:rFonts w:ascii="Times New Roman" w:hAnsi="Times New Roman"/>
          <w:sz w:val="24"/>
          <w:szCs w:val="24"/>
        </w:rPr>
        <w:t>1274,1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3A2E8F">
        <w:rPr>
          <w:rFonts w:ascii="Times New Roman" w:hAnsi="Times New Roman"/>
          <w:sz w:val="24"/>
          <w:szCs w:val="24"/>
        </w:rPr>
        <w:t>44777,2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A2E8F">
        <w:rPr>
          <w:rFonts w:ascii="Times New Roman" w:hAnsi="Times New Roman"/>
          <w:sz w:val="24"/>
          <w:szCs w:val="24"/>
        </w:rPr>
        <w:t>2,8</w:t>
      </w:r>
      <w:r w:rsidR="00D81B6B"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>на проведение спортивных мероприятий</w:t>
      </w:r>
      <w:r w:rsidR="00C82CF0">
        <w:rPr>
          <w:rFonts w:ascii="Times New Roman" w:hAnsi="Times New Roman"/>
          <w:sz w:val="24"/>
          <w:szCs w:val="24"/>
        </w:rPr>
        <w:t>,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  <w:r w:rsidR="00C82CF0">
        <w:rPr>
          <w:rFonts w:ascii="Times New Roman" w:hAnsi="Times New Roman"/>
          <w:sz w:val="24"/>
          <w:szCs w:val="24"/>
        </w:rPr>
        <w:t>на содержание стадиона</w:t>
      </w:r>
      <w:r w:rsidR="003A2E8F">
        <w:rPr>
          <w:rFonts w:ascii="Times New Roman" w:hAnsi="Times New Roman"/>
          <w:sz w:val="24"/>
          <w:szCs w:val="24"/>
        </w:rPr>
        <w:t>, приобретение наградной  продукции</w:t>
      </w:r>
      <w:r w:rsidR="00C82CF0">
        <w:rPr>
          <w:rFonts w:ascii="Times New Roman" w:hAnsi="Times New Roman"/>
          <w:sz w:val="24"/>
          <w:szCs w:val="24"/>
        </w:rPr>
        <w:t>.</w:t>
      </w:r>
      <w:r w:rsidR="003A2E8F">
        <w:rPr>
          <w:rFonts w:ascii="Times New Roman" w:hAnsi="Times New Roman"/>
          <w:sz w:val="24"/>
          <w:szCs w:val="24"/>
        </w:rPr>
        <w:t xml:space="preserve"> Кроме того, за счет областного бюджета предусмотрена субсидия на строительство </w:t>
      </w:r>
      <w:proofErr w:type="spellStart"/>
      <w:r w:rsidR="003A2E8F">
        <w:rPr>
          <w:rFonts w:ascii="Times New Roman" w:hAnsi="Times New Roman"/>
          <w:sz w:val="24"/>
          <w:szCs w:val="24"/>
        </w:rPr>
        <w:t>ФОКа</w:t>
      </w:r>
      <w:proofErr w:type="spellEnd"/>
      <w:r w:rsidR="003A2E8F">
        <w:rPr>
          <w:rFonts w:ascii="Times New Roman" w:hAnsi="Times New Roman"/>
          <w:sz w:val="24"/>
          <w:szCs w:val="24"/>
        </w:rPr>
        <w:t xml:space="preserve">  в сумме 39274,1 тыс. рублей и  </w:t>
      </w:r>
      <w:proofErr w:type="spellStart"/>
      <w:r w:rsidR="003A2E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A2E8F">
        <w:rPr>
          <w:rFonts w:ascii="Times New Roman" w:hAnsi="Times New Roman"/>
          <w:sz w:val="24"/>
          <w:szCs w:val="24"/>
        </w:rPr>
        <w:t xml:space="preserve">  данного объекта из местного бюджета в сумме 2067,1 тыс. рублей.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3A2E8F">
        <w:rPr>
          <w:rFonts w:ascii="Times New Roman" w:hAnsi="Times New Roman"/>
          <w:sz w:val="24"/>
          <w:szCs w:val="24"/>
        </w:rPr>
        <w:t>4117,3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3A2E8F">
        <w:rPr>
          <w:rFonts w:ascii="Times New Roman" w:hAnsi="Times New Roman"/>
          <w:sz w:val="24"/>
          <w:szCs w:val="24"/>
        </w:rPr>
        <w:t>9277,8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A2E8F">
        <w:rPr>
          <w:rFonts w:ascii="Times New Roman" w:hAnsi="Times New Roman"/>
          <w:sz w:val="24"/>
          <w:szCs w:val="24"/>
        </w:rPr>
        <w:t>44,4</w:t>
      </w:r>
      <w:r w:rsidRPr="00C52F58">
        <w:rPr>
          <w:rFonts w:ascii="Times New Roman" w:hAnsi="Times New Roman"/>
          <w:sz w:val="24"/>
          <w:szCs w:val="24"/>
        </w:rPr>
        <w:t xml:space="preserve">%. В объем  расходов </w:t>
      </w:r>
      <w:r w:rsidR="00472A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C52F58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3A2E8F">
        <w:rPr>
          <w:rFonts w:ascii="Times New Roman" w:hAnsi="Times New Roman"/>
          <w:sz w:val="24"/>
          <w:szCs w:val="24"/>
        </w:rPr>
        <w:t>1780,1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или </w:t>
      </w:r>
      <w:r w:rsidR="003A2E8F">
        <w:rPr>
          <w:rFonts w:ascii="Times New Roman" w:hAnsi="Times New Roman"/>
          <w:sz w:val="24"/>
          <w:szCs w:val="24"/>
        </w:rPr>
        <w:t>36,4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финансовая помощь общественным организациям, ветеранам в сумме </w:t>
      </w:r>
      <w:r w:rsidR="003A2E8F">
        <w:rPr>
          <w:rFonts w:ascii="Times New Roman" w:hAnsi="Times New Roman"/>
          <w:sz w:val="24"/>
          <w:szCs w:val="24"/>
        </w:rPr>
        <w:t>278,0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A2E8F">
        <w:rPr>
          <w:rFonts w:ascii="Times New Roman" w:hAnsi="Times New Roman"/>
          <w:sz w:val="24"/>
          <w:szCs w:val="24"/>
        </w:rPr>
        <w:t>52,0</w:t>
      </w:r>
      <w:r w:rsidR="002A5005">
        <w:rPr>
          <w:rFonts w:ascii="Times New Roman" w:hAnsi="Times New Roman"/>
          <w:sz w:val="24"/>
          <w:szCs w:val="24"/>
        </w:rPr>
        <w:t>%;</w:t>
      </w:r>
    </w:p>
    <w:p w:rsidR="002A5005" w:rsidRP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-расходы на реализацию программы «Молодым семьям доступное жилье» в сумме 2059,2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>. или 53,5%, в том числе:</w:t>
      </w:r>
    </w:p>
    <w:p w:rsidR="002A5005" w:rsidRP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из федерального бюджета направлено 619,4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>. или 57,9%;</w:t>
      </w:r>
    </w:p>
    <w:p w:rsidR="002A5005" w:rsidRP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из областного бюджета направлено 533,8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>. или 57,9%;</w:t>
      </w:r>
    </w:p>
    <w:p w:rsid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из местного бюджета направлено 906,0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>. или 48,8%.</w:t>
      </w: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 xml:space="preserve">1 </w:t>
      </w:r>
      <w:r w:rsidR="00DB73CE">
        <w:rPr>
          <w:rFonts w:ascii="Times New Roman" w:hAnsi="Times New Roman"/>
          <w:b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AB080E">
        <w:rPr>
          <w:rFonts w:ascii="Times New Roman" w:hAnsi="Times New Roman"/>
          <w:b/>
          <w:sz w:val="24"/>
          <w:szCs w:val="24"/>
        </w:rPr>
        <w:t>7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AB080E">
        <w:rPr>
          <w:rFonts w:ascii="Times New Roman" w:hAnsi="Times New Roman" w:cs="Times New Roman"/>
          <w:b w:val="0"/>
          <w:sz w:val="24"/>
          <w:szCs w:val="24"/>
        </w:rPr>
        <w:t>7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DB73CE">
        <w:rPr>
          <w:rFonts w:ascii="Times New Roman" w:hAnsi="Times New Roman" w:cs="Times New Roman"/>
          <w:b w:val="0"/>
          <w:sz w:val="24"/>
          <w:szCs w:val="24"/>
        </w:rPr>
        <w:t>81959,7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,0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73CE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B73CE">
        <w:rPr>
          <w:rFonts w:ascii="Times New Roman" w:hAnsi="Times New Roman" w:cs="Times New Roman"/>
          <w:b w:val="0"/>
          <w:sz w:val="24"/>
          <w:szCs w:val="24"/>
        </w:rPr>
        <w:t>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DB73CE">
        <w:rPr>
          <w:rFonts w:ascii="Times New Roman" w:hAnsi="Times New Roman" w:cs="Times New Roman"/>
          <w:b w:val="0"/>
          <w:sz w:val="24"/>
          <w:szCs w:val="24"/>
        </w:rPr>
        <w:t>27399,8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DB73CE">
        <w:rPr>
          <w:rFonts w:ascii="Times New Roman" w:hAnsi="Times New Roman" w:cs="Times New Roman"/>
          <w:b w:val="0"/>
          <w:sz w:val="24"/>
          <w:szCs w:val="24"/>
        </w:rPr>
        <w:t>33,4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420"/>
        <w:gridCol w:w="1410"/>
        <w:gridCol w:w="1238"/>
        <w:gridCol w:w="1422"/>
      </w:tblGrid>
      <w:tr w:rsidR="00A855B4" w:rsidRPr="00927E11" w:rsidTr="00A41618">
        <w:trPr>
          <w:trHeight w:val="330"/>
        </w:trPr>
        <w:tc>
          <w:tcPr>
            <w:tcW w:w="378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"Благоустройство"</w:t>
            </w:r>
          </w:p>
          <w:p w:rsidR="00A855B4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55B4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55B4" w:rsidRPr="00A41618" w:rsidRDefault="00A855B4" w:rsidP="00927E11"/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9137,0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5224,8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5078,1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0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  <w:r w:rsidR="00A855B4"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67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"Поддержка социально ориентированных организаций"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A855B4"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7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2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5830,9</w:t>
            </w:r>
          </w:p>
        </w:tc>
        <w:tc>
          <w:tcPr>
            <w:tcW w:w="1422" w:type="dxa"/>
          </w:tcPr>
          <w:p w:rsidR="00A855B4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50,2</w:t>
            </w: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5503,1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1274,1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A855B4" w:rsidRPr="00927E11" w:rsidTr="00A41618">
        <w:trPr>
          <w:trHeight w:val="645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3373,5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1391,6</w:t>
            </w:r>
          </w:p>
        </w:tc>
        <w:tc>
          <w:tcPr>
            <w:tcW w:w="1422" w:type="dxa"/>
          </w:tcPr>
          <w:p w:rsidR="00A855B4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41,2</w:t>
            </w:r>
          </w:p>
        </w:tc>
      </w:tr>
      <w:tr w:rsidR="00A41618" w:rsidRPr="00927E11" w:rsidTr="008D67D8">
        <w:trPr>
          <w:trHeight w:val="1006"/>
        </w:trPr>
        <w:tc>
          <w:tcPr>
            <w:tcW w:w="378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22" w:type="dxa"/>
          </w:tcPr>
          <w:p w:rsidR="00A41618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A41618" w:rsidRPr="00927E11" w:rsidTr="008D67D8">
        <w:trPr>
          <w:trHeight w:val="1262"/>
        </w:trPr>
        <w:tc>
          <w:tcPr>
            <w:tcW w:w="378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422" w:type="dxa"/>
          </w:tcPr>
          <w:p w:rsidR="00A41618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38,0</w:t>
            </w:r>
          </w:p>
        </w:tc>
      </w:tr>
      <w:tr w:rsidR="00A41618" w:rsidRPr="00927E11" w:rsidTr="008D67D8">
        <w:trPr>
          <w:trHeight w:val="1006"/>
        </w:trPr>
        <w:tc>
          <w:tcPr>
            <w:tcW w:w="378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МП "Развитие и поддержка субъектов малого предпринимательства"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22" w:type="dxa"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МП "Молодым </w:t>
            </w:r>
            <w:proofErr w:type="gram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семьям-доступное</w:t>
            </w:r>
            <w:proofErr w:type="gram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жилье"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906,0</w:t>
            </w:r>
            <w:r w:rsidR="00A855B4"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A41618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48,8</w:t>
            </w:r>
          </w:p>
        </w:tc>
      </w:tr>
      <w:tr w:rsidR="00A855B4" w:rsidRPr="00927E11" w:rsidTr="00670EC6">
        <w:trPr>
          <w:trHeight w:val="630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36960,9</w:t>
            </w:r>
          </w:p>
        </w:tc>
        <w:tc>
          <w:tcPr>
            <w:tcW w:w="1238" w:type="dxa"/>
            <w:shd w:val="clear" w:color="auto" w:fill="auto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8100,4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A855B4" w:rsidRPr="00927E11" w:rsidTr="00A41618">
        <w:trPr>
          <w:trHeight w:val="40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35987,0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7628,4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A855B4" w:rsidRPr="00927E11" w:rsidTr="00A41618">
        <w:trPr>
          <w:trHeight w:val="40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67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70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A855B4" w:rsidRPr="00927E11" w:rsidTr="00A41618">
        <w:trPr>
          <w:trHeight w:val="660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5B4" w:rsidRPr="00927E11" w:rsidTr="00A41618">
        <w:trPr>
          <w:trHeight w:val="34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67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0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1178,2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EC6" w:rsidRPr="00927E11" w:rsidTr="00A41618">
        <w:trPr>
          <w:trHeight w:val="330"/>
        </w:trPr>
        <w:tc>
          <w:tcPr>
            <w:tcW w:w="3788" w:type="dxa"/>
            <w:vMerge/>
            <w:vAlign w:val="center"/>
          </w:tcPr>
          <w:p w:rsidR="00670EC6" w:rsidRPr="00A41618" w:rsidRDefault="00670EC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670EC6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0" w:type="dxa"/>
            <w:shd w:val="clear" w:color="auto" w:fill="auto"/>
          </w:tcPr>
          <w:p w:rsidR="00670EC6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238" w:type="dxa"/>
            <w:shd w:val="clear" w:color="auto" w:fill="auto"/>
          </w:tcPr>
          <w:p w:rsidR="00670EC6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</w:tcPr>
          <w:p w:rsidR="00670EC6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855B4"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6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"Чествование граждан и коллективов"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422" w:type="dxa"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670EC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670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</w:t>
            </w:r>
            <w:r w:rsidR="00670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модернизация объектов  коммунальной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инфраструктуры"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53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1050,5</w:t>
            </w:r>
          </w:p>
        </w:tc>
        <w:tc>
          <w:tcPr>
            <w:tcW w:w="1422" w:type="dxa"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1050,5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3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1422" w:type="dxa"/>
          </w:tcPr>
          <w:p w:rsidR="00A855B4" w:rsidRPr="00A41618" w:rsidRDefault="00453F7D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61,9</w:t>
            </w: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6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"Социальная поддержка ветеранов ВОВ"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22" w:type="dxa"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A855B4" w:rsidRPr="00927E11" w:rsidTr="00A41618">
        <w:trPr>
          <w:trHeight w:val="34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618" w:rsidRPr="00927E11" w:rsidTr="008D67D8">
        <w:trPr>
          <w:trHeight w:val="766"/>
        </w:trPr>
        <w:tc>
          <w:tcPr>
            <w:tcW w:w="3788" w:type="dxa"/>
            <w:vMerge w:val="restart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3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422" w:type="dxa"/>
          </w:tcPr>
          <w:p w:rsidR="00A41618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3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453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53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22" w:type="dxa"/>
          </w:tcPr>
          <w:p w:rsidR="00A855B4" w:rsidRPr="00A41618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33,9</w:t>
            </w:r>
          </w:p>
        </w:tc>
      </w:tr>
      <w:tr w:rsidR="00A855B4" w:rsidRPr="00927E11" w:rsidTr="00A41618">
        <w:trPr>
          <w:trHeight w:val="64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1940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22" w:type="dxa"/>
          </w:tcPr>
          <w:p w:rsidR="00A855B4" w:rsidRPr="00A41618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38,3</w:t>
            </w:r>
          </w:p>
        </w:tc>
      </w:tr>
      <w:tr w:rsidR="00A41618" w:rsidRPr="00927E11" w:rsidTr="008D67D8">
        <w:trPr>
          <w:trHeight w:val="670"/>
        </w:trPr>
        <w:tc>
          <w:tcPr>
            <w:tcW w:w="3788" w:type="dxa"/>
            <w:vMerge/>
            <w:vAlign w:val="center"/>
            <w:hideMark/>
          </w:tcPr>
          <w:p w:rsidR="00A41618" w:rsidRPr="00927E11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22" w:type="dxa"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81959,7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27399,8</w:t>
            </w:r>
          </w:p>
        </w:tc>
        <w:tc>
          <w:tcPr>
            <w:tcW w:w="1422" w:type="dxa"/>
          </w:tcPr>
          <w:p w:rsidR="00A855B4" w:rsidRPr="00A41618" w:rsidRDefault="00453F7D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  <w:bookmarkStart w:id="0" w:name="_GoBack"/>
      <w:bookmarkEnd w:id="0"/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073A1A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AB080E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01.0</w:t>
      </w:r>
      <w:r w:rsidR="00073A1A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AB080E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D477CA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на отчетную дату составила </w:t>
      </w:r>
      <w:r w:rsidR="00DF3FAB">
        <w:rPr>
          <w:sz w:val="24"/>
          <w:szCs w:val="24"/>
        </w:rPr>
        <w:t>4127,3</w:t>
      </w:r>
      <w:r>
        <w:rPr>
          <w:sz w:val="24"/>
          <w:szCs w:val="24"/>
        </w:rPr>
        <w:t xml:space="preserve"> тыс. рублей. Рост дебиторской задолженности по отношению к  данным на начало года  (95</w:t>
      </w:r>
      <w:r w:rsidR="00DC2E80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DF3FAB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рублей)  составил  </w:t>
      </w:r>
      <w:r w:rsidR="00DF3FAB">
        <w:rPr>
          <w:sz w:val="24"/>
          <w:szCs w:val="24"/>
        </w:rPr>
        <w:t>3171,0</w:t>
      </w:r>
      <w:r>
        <w:rPr>
          <w:sz w:val="24"/>
          <w:szCs w:val="24"/>
        </w:rPr>
        <w:t xml:space="preserve"> тыс. рублей или на </w:t>
      </w:r>
      <w:r w:rsidR="00DF3FAB">
        <w:rPr>
          <w:sz w:val="24"/>
          <w:szCs w:val="24"/>
        </w:rPr>
        <w:t>76</w:t>
      </w:r>
      <w:r w:rsidR="00DC2E80">
        <w:rPr>
          <w:sz w:val="24"/>
          <w:szCs w:val="24"/>
        </w:rPr>
        <w:t>,8</w:t>
      </w:r>
      <w:r>
        <w:rPr>
          <w:sz w:val="24"/>
          <w:szCs w:val="24"/>
        </w:rPr>
        <w:t xml:space="preserve">%.  Наибольший удельный вес составляет  дебиторская задолженность по арендной плате  за пользование муниципальным имуществом  - </w:t>
      </w:r>
      <w:r w:rsidR="00DF3FAB">
        <w:rPr>
          <w:sz w:val="24"/>
          <w:szCs w:val="24"/>
        </w:rPr>
        <w:t>2312,2</w:t>
      </w:r>
      <w:r>
        <w:rPr>
          <w:sz w:val="24"/>
          <w:szCs w:val="24"/>
        </w:rPr>
        <w:t xml:space="preserve"> тыс. рублей </w:t>
      </w:r>
      <w:r w:rsidR="00DC2E80">
        <w:rPr>
          <w:sz w:val="24"/>
          <w:szCs w:val="24"/>
        </w:rPr>
        <w:t>и по плате за пользование муниципальным жильем по договорам социального найма – 14</w:t>
      </w:r>
      <w:r w:rsidR="00DF3FAB">
        <w:rPr>
          <w:sz w:val="24"/>
          <w:szCs w:val="24"/>
        </w:rPr>
        <w:t>81</w:t>
      </w:r>
      <w:r w:rsidR="00DC2E80">
        <w:rPr>
          <w:sz w:val="24"/>
          <w:szCs w:val="24"/>
        </w:rPr>
        <w:t>,</w:t>
      </w:r>
      <w:r w:rsidR="00DF3FAB">
        <w:rPr>
          <w:sz w:val="24"/>
          <w:szCs w:val="24"/>
        </w:rPr>
        <w:t xml:space="preserve">9 </w:t>
      </w:r>
      <w:r w:rsidR="00DC2E80">
        <w:rPr>
          <w:sz w:val="24"/>
          <w:szCs w:val="24"/>
        </w:rPr>
        <w:t>тыс. рублей.</w:t>
      </w:r>
    </w:p>
    <w:p w:rsidR="00D477CA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DF3FAB">
        <w:rPr>
          <w:sz w:val="24"/>
          <w:szCs w:val="24"/>
        </w:rPr>
        <w:t>снизилась</w:t>
      </w:r>
      <w:r w:rsidR="00CA7329">
        <w:rPr>
          <w:sz w:val="24"/>
          <w:szCs w:val="24"/>
        </w:rPr>
        <w:t xml:space="preserve"> с 6310,7</w:t>
      </w:r>
      <w:r w:rsidR="00976301">
        <w:rPr>
          <w:sz w:val="24"/>
          <w:szCs w:val="24"/>
        </w:rPr>
        <w:t xml:space="preserve"> тыс. рублей на начало года до </w:t>
      </w:r>
      <w:r w:rsidR="00DF3FAB">
        <w:rPr>
          <w:sz w:val="24"/>
          <w:szCs w:val="24"/>
        </w:rPr>
        <w:t>56,7</w:t>
      </w:r>
      <w:r w:rsidR="00976301">
        <w:rPr>
          <w:sz w:val="24"/>
          <w:szCs w:val="24"/>
        </w:rPr>
        <w:t xml:space="preserve"> тыс. рублей по состоянию на 01.0</w:t>
      </w:r>
      <w:r w:rsidR="00DF3FAB">
        <w:rPr>
          <w:sz w:val="24"/>
          <w:szCs w:val="24"/>
        </w:rPr>
        <w:t>7</w:t>
      </w:r>
      <w:r w:rsidR="00976301">
        <w:rPr>
          <w:sz w:val="24"/>
          <w:szCs w:val="24"/>
        </w:rPr>
        <w:t>.201</w:t>
      </w:r>
      <w:r w:rsidR="00DF3FAB">
        <w:rPr>
          <w:sz w:val="24"/>
          <w:szCs w:val="24"/>
        </w:rPr>
        <w:t>7</w:t>
      </w:r>
      <w:r w:rsidR="00976301">
        <w:rPr>
          <w:sz w:val="24"/>
          <w:szCs w:val="24"/>
        </w:rPr>
        <w:t xml:space="preserve"> г.</w:t>
      </w:r>
      <w:r w:rsidR="00CA7329">
        <w:rPr>
          <w:sz w:val="24"/>
          <w:szCs w:val="24"/>
        </w:rPr>
        <w:t xml:space="preserve">, т.е. на  </w:t>
      </w:r>
      <w:r w:rsidR="00DF3FAB">
        <w:rPr>
          <w:sz w:val="24"/>
          <w:szCs w:val="24"/>
        </w:rPr>
        <w:t>6254</w:t>
      </w:r>
      <w:r w:rsidR="00CA7329">
        <w:rPr>
          <w:sz w:val="24"/>
          <w:szCs w:val="24"/>
        </w:rPr>
        <w:t xml:space="preserve">,0 тыс. рублей. </w:t>
      </w:r>
      <w:r w:rsidR="00DF3FAB">
        <w:rPr>
          <w:sz w:val="24"/>
          <w:szCs w:val="24"/>
        </w:rPr>
        <w:t>Снижение</w:t>
      </w:r>
      <w:r w:rsidR="00CA7329">
        <w:rPr>
          <w:sz w:val="24"/>
          <w:szCs w:val="24"/>
        </w:rPr>
        <w:t xml:space="preserve"> связано с </w:t>
      </w:r>
      <w:r w:rsidR="00DF3FAB">
        <w:rPr>
          <w:sz w:val="24"/>
          <w:szCs w:val="24"/>
        </w:rPr>
        <w:t xml:space="preserve">перечислением </w:t>
      </w:r>
      <w:r w:rsidR="00554EBD">
        <w:rPr>
          <w:sz w:val="24"/>
          <w:szCs w:val="24"/>
        </w:rPr>
        <w:t>физическим лицам</w:t>
      </w:r>
      <w:r w:rsidR="00DF3FAB">
        <w:rPr>
          <w:sz w:val="24"/>
          <w:szCs w:val="24"/>
        </w:rPr>
        <w:t xml:space="preserve"> за приобретенные в муниципальную собственность квартир</w:t>
      </w:r>
      <w:r w:rsidR="00554EBD">
        <w:rPr>
          <w:sz w:val="24"/>
          <w:szCs w:val="24"/>
        </w:rPr>
        <w:t xml:space="preserve">ы </w:t>
      </w:r>
      <w:r w:rsidR="00CA7329">
        <w:rPr>
          <w:sz w:val="24"/>
          <w:szCs w:val="24"/>
        </w:rPr>
        <w:t xml:space="preserve">для переселения граждан из ветхого и аварийного жилья,  </w:t>
      </w:r>
      <w:r w:rsidR="00554EBD">
        <w:rPr>
          <w:sz w:val="24"/>
          <w:szCs w:val="24"/>
        </w:rPr>
        <w:t>в связи с поступлением</w:t>
      </w:r>
      <w:r w:rsidR="00CA7329">
        <w:rPr>
          <w:sz w:val="24"/>
          <w:szCs w:val="24"/>
        </w:rPr>
        <w:t xml:space="preserve">  субсиди</w:t>
      </w:r>
      <w:r w:rsidR="00554EBD">
        <w:rPr>
          <w:sz w:val="24"/>
          <w:szCs w:val="24"/>
        </w:rPr>
        <w:t>и</w:t>
      </w:r>
      <w:r w:rsidR="00CA7329">
        <w:rPr>
          <w:sz w:val="24"/>
          <w:szCs w:val="24"/>
        </w:rPr>
        <w:t xml:space="preserve"> из областного бюджета.</w:t>
      </w:r>
    </w:p>
    <w:p w:rsidR="00AC44F7" w:rsidRDefault="00AC44F7" w:rsidP="0046117D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</w:t>
      </w:r>
      <w:r w:rsidR="008B204A">
        <w:rPr>
          <w:sz w:val="24"/>
          <w:szCs w:val="24"/>
        </w:rPr>
        <w:t>7</w:t>
      </w:r>
      <w:r w:rsidRPr="00C52F5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задолженности по невыплаченной заработной плате и социальным налогам. </w:t>
      </w:r>
    </w:p>
    <w:p w:rsidR="00EB4EEB" w:rsidRPr="00C52F58" w:rsidRDefault="00D16198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в отчетном периоде составило </w:t>
      </w:r>
      <w:r w:rsidR="008B204A">
        <w:rPr>
          <w:rFonts w:ascii="Times New Roman" w:hAnsi="Times New Roman"/>
          <w:sz w:val="24"/>
          <w:szCs w:val="24"/>
          <w:lang w:eastAsia="ru-RU"/>
        </w:rPr>
        <w:t>159502,2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8B204A">
        <w:rPr>
          <w:rFonts w:ascii="Times New Roman" w:hAnsi="Times New Roman"/>
          <w:sz w:val="24"/>
          <w:szCs w:val="24"/>
          <w:lang w:eastAsia="ru-RU"/>
        </w:rPr>
        <w:t>29,7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8B204A">
        <w:rPr>
          <w:rFonts w:ascii="Times New Roman" w:hAnsi="Times New Roman"/>
          <w:sz w:val="24"/>
          <w:szCs w:val="24"/>
          <w:lang w:eastAsia="ru-RU"/>
        </w:rPr>
        <w:t>164676,6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8B204A">
        <w:rPr>
          <w:rFonts w:ascii="Times New Roman" w:hAnsi="Times New Roman"/>
          <w:sz w:val="24"/>
          <w:szCs w:val="24"/>
          <w:lang w:eastAsia="ru-RU"/>
        </w:rPr>
        <w:t>29,3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 с учетом изменений в сводной бюджетной росписи. </w:t>
      </w:r>
    </w:p>
    <w:p w:rsidR="00E779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за </w:t>
      </w:r>
      <w:bookmarkStart w:id="4" w:name="YANDEX_264"/>
      <w:bookmarkEnd w:id="4"/>
      <w:r w:rsidR="0048217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8B204A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53EAB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 с </w:t>
      </w:r>
      <w:r w:rsidR="008B204A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8B204A">
        <w:rPr>
          <w:rFonts w:ascii="Times New Roman" w:hAnsi="Times New Roman"/>
          <w:sz w:val="24"/>
          <w:szCs w:val="24"/>
          <w:lang w:eastAsia="ru-RU"/>
        </w:rPr>
        <w:t>5174,4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EAB"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</w:t>
      </w:r>
      <w:r w:rsidR="008B204A">
        <w:rPr>
          <w:rFonts w:ascii="Times New Roman" w:hAnsi="Times New Roman"/>
          <w:sz w:val="24"/>
          <w:szCs w:val="24"/>
          <w:lang w:eastAsia="ru-RU"/>
        </w:rPr>
        <w:t xml:space="preserve">по разделу 04 «Национальная экономика» - 18,6% преимущественно за счет подраздела «Дорожное хозяйство»,  </w:t>
      </w:r>
      <w:r w:rsidR="00E77958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8B204A">
        <w:rPr>
          <w:rFonts w:ascii="Times New Roman" w:hAnsi="Times New Roman"/>
          <w:sz w:val="24"/>
          <w:szCs w:val="24"/>
          <w:lang w:eastAsia="ru-RU"/>
        </w:rPr>
        <w:t>29,4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, по разделу 11 «Физическая культура и спорт» исполнение </w:t>
      </w:r>
      <w:r w:rsidR="008B204A">
        <w:rPr>
          <w:rFonts w:ascii="Times New Roman" w:hAnsi="Times New Roman"/>
          <w:sz w:val="24"/>
          <w:szCs w:val="24"/>
          <w:lang w:eastAsia="ru-RU"/>
        </w:rPr>
        <w:t>2,8</w:t>
      </w:r>
      <w:r w:rsidR="00B53EAB">
        <w:rPr>
          <w:rFonts w:ascii="Times New Roman" w:hAnsi="Times New Roman"/>
          <w:sz w:val="24"/>
          <w:szCs w:val="24"/>
          <w:lang w:eastAsia="ru-RU"/>
        </w:rPr>
        <w:t>%</w:t>
      </w:r>
      <w:r w:rsidR="003979AF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 xml:space="preserve">1 </w:t>
      </w:r>
      <w:r w:rsidR="008B204A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86634D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</w:p>
    <w:p w:rsidR="00896F73" w:rsidRDefault="003979AF" w:rsidP="00D1619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61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1619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16198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D16198">
        <w:rPr>
          <w:rFonts w:ascii="Times New Roman" w:hAnsi="Times New Roman"/>
          <w:sz w:val="24"/>
          <w:szCs w:val="24"/>
        </w:rPr>
        <w:t>:</w:t>
      </w:r>
    </w:p>
    <w:p w:rsidR="00D16198" w:rsidRPr="00D16198" w:rsidRDefault="00D16198" w:rsidP="00D1619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 во втором полугодии 2017 года  исполнение бюджетных назначений дорожного фонда в сумме 44031,8 тыс. рублей;</w:t>
      </w:r>
    </w:p>
    <w:p w:rsidR="00BF1EC6" w:rsidRDefault="0086634D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2017</w:t>
      </w:r>
      <w:r w:rsidR="00BF1EC6">
        <w:rPr>
          <w:rFonts w:ascii="Times New Roman" w:hAnsi="Times New Roman"/>
          <w:sz w:val="24"/>
          <w:szCs w:val="24"/>
        </w:rPr>
        <w:t xml:space="preserve"> году исполнение утвержденных бюджетных назначений </w:t>
      </w:r>
      <w:r w:rsidR="003053EE">
        <w:rPr>
          <w:rFonts w:ascii="Times New Roman" w:hAnsi="Times New Roman"/>
          <w:sz w:val="24"/>
          <w:szCs w:val="24"/>
          <w:lang w:eastAsia="ru-RU"/>
        </w:rPr>
        <w:t xml:space="preserve">по разделу 05 «Жилищно-коммунальное хозяйство» </w:t>
      </w:r>
      <w:r w:rsidR="00BF1EC6">
        <w:rPr>
          <w:rFonts w:ascii="Times New Roman" w:hAnsi="Times New Roman"/>
          <w:sz w:val="24"/>
          <w:szCs w:val="24"/>
        </w:rPr>
        <w:t xml:space="preserve">в сумме </w:t>
      </w:r>
      <w:r w:rsidR="00D16198">
        <w:rPr>
          <w:rFonts w:ascii="Times New Roman" w:hAnsi="Times New Roman"/>
          <w:sz w:val="24"/>
          <w:szCs w:val="24"/>
        </w:rPr>
        <w:t>387843,7</w:t>
      </w:r>
      <w:r w:rsidR="00BF1EC6">
        <w:rPr>
          <w:rFonts w:ascii="Times New Roman" w:hAnsi="Times New Roman"/>
          <w:sz w:val="24"/>
          <w:szCs w:val="24"/>
        </w:rPr>
        <w:t xml:space="preserve"> тыс. рублей на мероприятия по программе переселения граждан из ветхого и аварийного жилья.</w:t>
      </w:r>
    </w:p>
    <w:p w:rsidR="0086634D" w:rsidRPr="00BF1EC6" w:rsidRDefault="0086634D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 исполнение утвержденных бюджетных назначений  по разделу 11  «Физическая культура и спорт» в сумме </w:t>
      </w:r>
      <w:r w:rsidR="00D16198">
        <w:rPr>
          <w:rFonts w:ascii="Times New Roman" w:hAnsi="Times New Roman"/>
          <w:sz w:val="24"/>
          <w:szCs w:val="24"/>
        </w:rPr>
        <w:t>44777,2</w:t>
      </w:r>
      <w:r>
        <w:rPr>
          <w:rFonts w:ascii="Times New Roman" w:hAnsi="Times New Roman"/>
          <w:sz w:val="24"/>
          <w:szCs w:val="24"/>
        </w:rPr>
        <w:t xml:space="preserve"> тыс. рублей на строительство физкультурно-оздоровительного комплекса.</w:t>
      </w:r>
    </w:p>
    <w:p w:rsidR="00210291" w:rsidRPr="00896F73" w:rsidRDefault="00896F73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>-</w:t>
      </w:r>
      <w:r w:rsidR="003979AF" w:rsidRPr="00896F73">
        <w:rPr>
          <w:rFonts w:ascii="Times New Roman" w:hAnsi="Times New Roman"/>
          <w:sz w:val="24"/>
          <w:szCs w:val="24"/>
        </w:rPr>
        <w:t xml:space="preserve"> </w:t>
      </w:r>
      <w:r w:rsidRPr="00896F73">
        <w:rPr>
          <w:rFonts w:ascii="Times New Roman" w:hAnsi="Times New Roman"/>
          <w:sz w:val="24"/>
          <w:szCs w:val="24"/>
        </w:rPr>
        <w:t>У</w:t>
      </w:r>
      <w:r w:rsidR="003979AF" w:rsidRPr="00896F73">
        <w:rPr>
          <w:rFonts w:ascii="Times New Roman" w:hAnsi="Times New Roman"/>
          <w:sz w:val="24"/>
          <w:szCs w:val="24"/>
        </w:rPr>
        <w:t>силить работу по взысканию дебиторской задолженности по арендной плате</w:t>
      </w:r>
      <w:r w:rsidR="0086634D">
        <w:rPr>
          <w:rFonts w:ascii="Times New Roman" w:hAnsi="Times New Roman"/>
          <w:sz w:val="24"/>
          <w:szCs w:val="24"/>
        </w:rPr>
        <w:t xml:space="preserve"> и договорам социального найма</w:t>
      </w:r>
      <w:r w:rsidR="003979AF" w:rsidRPr="00896F73">
        <w:rPr>
          <w:rFonts w:ascii="Times New Roman" w:hAnsi="Times New Roman"/>
          <w:sz w:val="24"/>
          <w:szCs w:val="24"/>
        </w:rPr>
        <w:t xml:space="preserve"> за пользование муниципальным имуществом и не допускать  ее повышения.</w:t>
      </w:r>
    </w:p>
    <w:p w:rsidR="00210291" w:rsidRDefault="00896F73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Организовать работу по исполнению мероприятий в рамках муниципальных  целевых программ на 201</w:t>
      </w:r>
      <w:r w:rsidR="0086634D">
        <w:rPr>
          <w:b w:val="0"/>
        </w:rPr>
        <w:t>7</w:t>
      </w:r>
      <w:r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 xml:space="preserve">1 </w:t>
      </w:r>
      <w:r w:rsidR="00D16198">
        <w:rPr>
          <w:rFonts w:ascii="Times New Roman" w:hAnsi="Times New Roman"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</w:rPr>
        <w:t xml:space="preserve"> 201</w:t>
      </w:r>
      <w:r w:rsidR="0086634D">
        <w:rPr>
          <w:rFonts w:ascii="Times New Roman" w:hAnsi="Times New Roman"/>
          <w:sz w:val="24"/>
          <w:szCs w:val="24"/>
        </w:rPr>
        <w:t>7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C55BFC">
        <w:rPr>
          <w:rFonts w:ascii="Times New Roman" w:hAnsi="Times New Roman"/>
          <w:sz w:val="24"/>
          <w:szCs w:val="24"/>
        </w:rPr>
        <w:t>утвердить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369F" w:rsidRDefault="0016369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69F" w:rsidRDefault="0016369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20115"/>
    <w:multiLevelType w:val="hybridMultilevel"/>
    <w:tmpl w:val="7810A4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5389"/>
    <w:rsid w:val="000461D4"/>
    <w:rsid w:val="0005217E"/>
    <w:rsid w:val="0005789E"/>
    <w:rsid w:val="000623B0"/>
    <w:rsid w:val="00073A1A"/>
    <w:rsid w:val="00076437"/>
    <w:rsid w:val="00084A7F"/>
    <w:rsid w:val="00092E31"/>
    <w:rsid w:val="00093F6A"/>
    <w:rsid w:val="000A2954"/>
    <w:rsid w:val="000A56C5"/>
    <w:rsid w:val="000B18BD"/>
    <w:rsid w:val="000B5EAD"/>
    <w:rsid w:val="000C20D7"/>
    <w:rsid w:val="000C2336"/>
    <w:rsid w:val="000C41DD"/>
    <w:rsid w:val="000D401B"/>
    <w:rsid w:val="001025F2"/>
    <w:rsid w:val="00122B8F"/>
    <w:rsid w:val="00163358"/>
    <w:rsid w:val="0016369F"/>
    <w:rsid w:val="00175637"/>
    <w:rsid w:val="00182D3F"/>
    <w:rsid w:val="00185132"/>
    <w:rsid w:val="00193757"/>
    <w:rsid w:val="00196535"/>
    <w:rsid w:val="001A63EA"/>
    <w:rsid w:val="001B5585"/>
    <w:rsid w:val="001C4B77"/>
    <w:rsid w:val="001D287B"/>
    <w:rsid w:val="001D2B00"/>
    <w:rsid w:val="001D358A"/>
    <w:rsid w:val="001E0969"/>
    <w:rsid w:val="001F6879"/>
    <w:rsid w:val="00206D98"/>
    <w:rsid w:val="00210291"/>
    <w:rsid w:val="00212F85"/>
    <w:rsid w:val="00223646"/>
    <w:rsid w:val="00246B47"/>
    <w:rsid w:val="00252D9F"/>
    <w:rsid w:val="00253452"/>
    <w:rsid w:val="002721C9"/>
    <w:rsid w:val="002A5005"/>
    <w:rsid w:val="002C2F5C"/>
    <w:rsid w:val="002E2A8B"/>
    <w:rsid w:val="002E5251"/>
    <w:rsid w:val="002E5BA6"/>
    <w:rsid w:val="002F450A"/>
    <w:rsid w:val="003053EE"/>
    <w:rsid w:val="00306B7F"/>
    <w:rsid w:val="003253B0"/>
    <w:rsid w:val="003267E9"/>
    <w:rsid w:val="0032723D"/>
    <w:rsid w:val="00327C5F"/>
    <w:rsid w:val="00347567"/>
    <w:rsid w:val="00385A38"/>
    <w:rsid w:val="00391493"/>
    <w:rsid w:val="003979AF"/>
    <w:rsid w:val="003A0C39"/>
    <w:rsid w:val="003A2E8F"/>
    <w:rsid w:val="003A7CF2"/>
    <w:rsid w:val="003C1ACF"/>
    <w:rsid w:val="003D0831"/>
    <w:rsid w:val="003E016B"/>
    <w:rsid w:val="004052BF"/>
    <w:rsid w:val="00416F65"/>
    <w:rsid w:val="00426BF8"/>
    <w:rsid w:val="00443CED"/>
    <w:rsid w:val="00453F7D"/>
    <w:rsid w:val="0046117D"/>
    <w:rsid w:val="004711EB"/>
    <w:rsid w:val="00472A56"/>
    <w:rsid w:val="00472F22"/>
    <w:rsid w:val="00473B18"/>
    <w:rsid w:val="0048217B"/>
    <w:rsid w:val="00487FBD"/>
    <w:rsid w:val="00490D85"/>
    <w:rsid w:val="00495A4A"/>
    <w:rsid w:val="004A3220"/>
    <w:rsid w:val="004D2A27"/>
    <w:rsid w:val="004D6ED5"/>
    <w:rsid w:val="004E5E52"/>
    <w:rsid w:val="004E5F88"/>
    <w:rsid w:val="004F0DCE"/>
    <w:rsid w:val="00502C23"/>
    <w:rsid w:val="00550A08"/>
    <w:rsid w:val="00551F58"/>
    <w:rsid w:val="00554EBD"/>
    <w:rsid w:val="00567E73"/>
    <w:rsid w:val="00577D6C"/>
    <w:rsid w:val="0058652B"/>
    <w:rsid w:val="005932D5"/>
    <w:rsid w:val="005A5B20"/>
    <w:rsid w:val="005E15AE"/>
    <w:rsid w:val="00614A07"/>
    <w:rsid w:val="006239C0"/>
    <w:rsid w:val="0063350F"/>
    <w:rsid w:val="00656935"/>
    <w:rsid w:val="00663029"/>
    <w:rsid w:val="00670EC6"/>
    <w:rsid w:val="00682196"/>
    <w:rsid w:val="00687AFF"/>
    <w:rsid w:val="006B2414"/>
    <w:rsid w:val="006C3327"/>
    <w:rsid w:val="006E4913"/>
    <w:rsid w:val="006E7EA2"/>
    <w:rsid w:val="006F3744"/>
    <w:rsid w:val="006F684D"/>
    <w:rsid w:val="00710359"/>
    <w:rsid w:val="00722351"/>
    <w:rsid w:val="0072532A"/>
    <w:rsid w:val="00735F6C"/>
    <w:rsid w:val="0074231A"/>
    <w:rsid w:val="00761108"/>
    <w:rsid w:val="00776E48"/>
    <w:rsid w:val="00777045"/>
    <w:rsid w:val="00787B18"/>
    <w:rsid w:val="007B7388"/>
    <w:rsid w:val="007E1666"/>
    <w:rsid w:val="007E2557"/>
    <w:rsid w:val="007F583D"/>
    <w:rsid w:val="00813EA0"/>
    <w:rsid w:val="00826981"/>
    <w:rsid w:val="0083316D"/>
    <w:rsid w:val="0083672C"/>
    <w:rsid w:val="008542B8"/>
    <w:rsid w:val="00854A99"/>
    <w:rsid w:val="0086634D"/>
    <w:rsid w:val="00880FB7"/>
    <w:rsid w:val="00884261"/>
    <w:rsid w:val="00896F73"/>
    <w:rsid w:val="008A24C1"/>
    <w:rsid w:val="008B204A"/>
    <w:rsid w:val="008B2BCA"/>
    <w:rsid w:val="008B6B49"/>
    <w:rsid w:val="008C2737"/>
    <w:rsid w:val="008C5B55"/>
    <w:rsid w:val="008C6F59"/>
    <w:rsid w:val="008D172E"/>
    <w:rsid w:val="008D3634"/>
    <w:rsid w:val="008D67D8"/>
    <w:rsid w:val="008E4365"/>
    <w:rsid w:val="008F0216"/>
    <w:rsid w:val="008F0793"/>
    <w:rsid w:val="00927E11"/>
    <w:rsid w:val="00945A44"/>
    <w:rsid w:val="00957AC2"/>
    <w:rsid w:val="00976301"/>
    <w:rsid w:val="00986A0F"/>
    <w:rsid w:val="009A68C3"/>
    <w:rsid w:val="009C0E77"/>
    <w:rsid w:val="009D68EB"/>
    <w:rsid w:val="00A2365B"/>
    <w:rsid w:val="00A26BAD"/>
    <w:rsid w:val="00A33295"/>
    <w:rsid w:val="00A41618"/>
    <w:rsid w:val="00A41FA8"/>
    <w:rsid w:val="00A627DC"/>
    <w:rsid w:val="00A648A2"/>
    <w:rsid w:val="00A66011"/>
    <w:rsid w:val="00A72CD8"/>
    <w:rsid w:val="00A75332"/>
    <w:rsid w:val="00A75AC5"/>
    <w:rsid w:val="00A855B4"/>
    <w:rsid w:val="00A915A5"/>
    <w:rsid w:val="00A91EBA"/>
    <w:rsid w:val="00A96679"/>
    <w:rsid w:val="00AB080E"/>
    <w:rsid w:val="00AB6288"/>
    <w:rsid w:val="00AC4171"/>
    <w:rsid w:val="00AC44F7"/>
    <w:rsid w:val="00AF2886"/>
    <w:rsid w:val="00AF5CD6"/>
    <w:rsid w:val="00B15CDE"/>
    <w:rsid w:val="00B22FB4"/>
    <w:rsid w:val="00B32763"/>
    <w:rsid w:val="00B53EAB"/>
    <w:rsid w:val="00B72F7C"/>
    <w:rsid w:val="00B75F14"/>
    <w:rsid w:val="00BD0060"/>
    <w:rsid w:val="00BF151B"/>
    <w:rsid w:val="00BF1EC6"/>
    <w:rsid w:val="00BF4A62"/>
    <w:rsid w:val="00C04A87"/>
    <w:rsid w:val="00C05AD4"/>
    <w:rsid w:val="00C109F3"/>
    <w:rsid w:val="00C12037"/>
    <w:rsid w:val="00C201B0"/>
    <w:rsid w:val="00C52F58"/>
    <w:rsid w:val="00C55BFC"/>
    <w:rsid w:val="00C67A08"/>
    <w:rsid w:val="00C8286D"/>
    <w:rsid w:val="00C82CF0"/>
    <w:rsid w:val="00CA7329"/>
    <w:rsid w:val="00CB3108"/>
    <w:rsid w:val="00CB3894"/>
    <w:rsid w:val="00CB68F6"/>
    <w:rsid w:val="00CC08BC"/>
    <w:rsid w:val="00CC78F8"/>
    <w:rsid w:val="00CD2546"/>
    <w:rsid w:val="00CD7CBF"/>
    <w:rsid w:val="00D0031F"/>
    <w:rsid w:val="00D01FED"/>
    <w:rsid w:val="00D03834"/>
    <w:rsid w:val="00D04A0C"/>
    <w:rsid w:val="00D05BD8"/>
    <w:rsid w:val="00D16198"/>
    <w:rsid w:val="00D477CA"/>
    <w:rsid w:val="00D563B7"/>
    <w:rsid w:val="00D74D00"/>
    <w:rsid w:val="00D81B6B"/>
    <w:rsid w:val="00D847DE"/>
    <w:rsid w:val="00D92436"/>
    <w:rsid w:val="00D97244"/>
    <w:rsid w:val="00DA6817"/>
    <w:rsid w:val="00DB2C65"/>
    <w:rsid w:val="00DB73CE"/>
    <w:rsid w:val="00DC2E80"/>
    <w:rsid w:val="00DD14F7"/>
    <w:rsid w:val="00DD18C9"/>
    <w:rsid w:val="00DE21C3"/>
    <w:rsid w:val="00DE2B27"/>
    <w:rsid w:val="00DF1857"/>
    <w:rsid w:val="00DF3FAB"/>
    <w:rsid w:val="00E033C3"/>
    <w:rsid w:val="00E11347"/>
    <w:rsid w:val="00E13E90"/>
    <w:rsid w:val="00E15DE3"/>
    <w:rsid w:val="00E25383"/>
    <w:rsid w:val="00E54CB3"/>
    <w:rsid w:val="00E55F4F"/>
    <w:rsid w:val="00E55FB7"/>
    <w:rsid w:val="00E62730"/>
    <w:rsid w:val="00E77958"/>
    <w:rsid w:val="00E8058F"/>
    <w:rsid w:val="00E82366"/>
    <w:rsid w:val="00E841D9"/>
    <w:rsid w:val="00E9367B"/>
    <w:rsid w:val="00E93D16"/>
    <w:rsid w:val="00E9701A"/>
    <w:rsid w:val="00EA0808"/>
    <w:rsid w:val="00EB4EEB"/>
    <w:rsid w:val="00EC57BF"/>
    <w:rsid w:val="00ED2C97"/>
    <w:rsid w:val="00ED4437"/>
    <w:rsid w:val="00EE558A"/>
    <w:rsid w:val="00EF72BF"/>
    <w:rsid w:val="00F07935"/>
    <w:rsid w:val="00F13D61"/>
    <w:rsid w:val="00F3170B"/>
    <w:rsid w:val="00F34F1D"/>
    <w:rsid w:val="00F46188"/>
    <w:rsid w:val="00F534EE"/>
    <w:rsid w:val="00F70CD0"/>
    <w:rsid w:val="00F75AC0"/>
    <w:rsid w:val="00F76740"/>
    <w:rsid w:val="00FA2DB3"/>
    <w:rsid w:val="00FB13D3"/>
    <w:rsid w:val="00FC3BF5"/>
    <w:rsid w:val="00FC5C3E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D4C7-8363-47AB-8A09-86E7111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12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170</cp:revision>
  <cp:lastPrinted>2017-07-24T03:29:00Z</cp:lastPrinted>
  <dcterms:created xsi:type="dcterms:W3CDTF">2015-10-12T06:42:00Z</dcterms:created>
  <dcterms:modified xsi:type="dcterms:W3CDTF">2017-07-25T00:08:00Z</dcterms:modified>
</cp:coreProperties>
</file>