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1A0564" w:rsidP="000E3C03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0E3C03"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F41A52">
        <w:rPr>
          <w:b/>
          <w:sz w:val="24"/>
          <w:szCs w:val="24"/>
        </w:rPr>
        <w:t>43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 </w:t>
      </w:r>
      <w:r w:rsidR="00F41A52">
        <w:rPr>
          <w:sz w:val="24"/>
          <w:szCs w:val="24"/>
        </w:rPr>
        <w:t xml:space="preserve">целевой </w:t>
      </w:r>
      <w:r w:rsidRPr="00691CBD">
        <w:rPr>
          <w:sz w:val="24"/>
          <w:szCs w:val="24"/>
        </w:rPr>
        <w:t>программы «</w:t>
      </w:r>
      <w:r w:rsidR="00F41A52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F41A52">
        <w:rPr>
          <w:sz w:val="24"/>
          <w:szCs w:val="24"/>
        </w:rPr>
        <w:t>Тайшетского</w:t>
      </w:r>
      <w:proofErr w:type="spellEnd"/>
      <w:r w:rsidR="00F41A52">
        <w:rPr>
          <w:sz w:val="24"/>
          <w:szCs w:val="24"/>
        </w:rPr>
        <w:t xml:space="preserve"> городского поселения</w:t>
      </w:r>
      <w:r w:rsidR="002839AD" w:rsidRPr="00691CBD">
        <w:rPr>
          <w:sz w:val="24"/>
          <w:szCs w:val="24"/>
        </w:rPr>
        <w:t>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</w:t>
      </w:r>
      <w:r w:rsidR="00F41A52">
        <w:rPr>
          <w:sz w:val="24"/>
          <w:szCs w:val="24"/>
        </w:rPr>
        <w:t>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</w:t>
      </w:r>
      <w:r w:rsidR="00001B2E">
        <w:rPr>
          <w:sz w:val="24"/>
          <w:szCs w:val="24"/>
        </w:rPr>
        <w:t xml:space="preserve"> целевой </w:t>
      </w:r>
      <w:r w:rsidRPr="00691CBD">
        <w:rPr>
          <w:sz w:val="24"/>
          <w:szCs w:val="24"/>
        </w:rPr>
        <w:t xml:space="preserve"> программы «</w:t>
      </w:r>
      <w:r w:rsidR="00001B2E" w:rsidRPr="00001B2E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001B2E" w:rsidRPr="00001B2E">
        <w:rPr>
          <w:sz w:val="24"/>
          <w:szCs w:val="24"/>
        </w:rPr>
        <w:t>Тайшетского</w:t>
      </w:r>
      <w:proofErr w:type="spellEnd"/>
      <w:r w:rsidR="00001B2E" w:rsidRPr="00001B2E">
        <w:rPr>
          <w:sz w:val="24"/>
          <w:szCs w:val="24"/>
        </w:rPr>
        <w:t xml:space="preserve"> городского поселения» на 2018-2020 годы»</w:t>
      </w:r>
      <w:r w:rsidRPr="00691CBD">
        <w:rPr>
          <w:sz w:val="24"/>
          <w:szCs w:val="24"/>
        </w:rPr>
        <w:t>»  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</w:t>
      </w:r>
      <w:r w:rsidR="00001B2E" w:rsidRPr="00001B2E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001B2E" w:rsidRPr="00001B2E">
        <w:rPr>
          <w:sz w:val="24"/>
          <w:szCs w:val="24"/>
        </w:rPr>
        <w:t>Тайшетского</w:t>
      </w:r>
      <w:proofErr w:type="spellEnd"/>
      <w:r w:rsidR="00001B2E" w:rsidRPr="00001B2E">
        <w:rPr>
          <w:sz w:val="24"/>
          <w:szCs w:val="24"/>
        </w:rPr>
        <w:t xml:space="preserve"> городского поселения» на 2018-2020 годы»</w:t>
      </w:r>
      <w:r w:rsidR="00002152" w:rsidRPr="00691CBD">
        <w:rPr>
          <w:sz w:val="24"/>
          <w:szCs w:val="24"/>
        </w:rPr>
        <w:t xml:space="preserve">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1A0564">
        <w:rPr>
          <w:sz w:val="24"/>
          <w:szCs w:val="24"/>
        </w:rPr>
        <w:t>03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При проведении экспертизы Проекта постановления установлено, что  в целях реализации мероприятий по безопасности дорожного движения на территории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поселения, администрация руководствовалась недействующим (утратившим силу) постановлением правительства Иркутской области от 26.09.2012 г. №519-пп «Об утверждении долгосрочной целевой программы «Повышение безопасности дорожного движения в Иркутской области» на 2013-2015 годы». 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="00C95EDE" w:rsidRPr="00691CBD">
        <w:rPr>
          <w:sz w:val="24"/>
          <w:szCs w:val="24"/>
        </w:rPr>
        <w:t>Тайшетско</w:t>
      </w:r>
      <w:r w:rsidR="0082060B">
        <w:rPr>
          <w:sz w:val="24"/>
          <w:szCs w:val="24"/>
        </w:rPr>
        <w:t>м</w:t>
      </w:r>
      <w:proofErr w:type="spellEnd"/>
      <w:r w:rsidR="00C95EDE" w:rsidRPr="00691CBD">
        <w:rPr>
          <w:sz w:val="24"/>
          <w:szCs w:val="24"/>
        </w:rPr>
        <w:t xml:space="preserve"> городско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поселени</w:t>
      </w:r>
      <w:r w:rsidR="0082060B">
        <w:rPr>
          <w:sz w:val="24"/>
          <w:szCs w:val="24"/>
        </w:rPr>
        <w:t xml:space="preserve">и, сокращение количества лиц, погибших в результате дорожно-транспортных происшествий, сокращение дорожно-транспортных происшествий с пострадавшими,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82060B">
        <w:rPr>
          <w:sz w:val="24"/>
          <w:szCs w:val="24"/>
        </w:rPr>
        <w:t>Тайшетского</w:t>
      </w:r>
      <w:proofErr w:type="spellEnd"/>
      <w:r w:rsidR="0082060B">
        <w:rPr>
          <w:sz w:val="24"/>
          <w:szCs w:val="24"/>
        </w:rPr>
        <w:t xml:space="preserve"> городского поселения.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proofErr w:type="gramStart"/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</w:t>
      </w:r>
      <w:r w:rsidR="00FA273C" w:rsidRPr="00691CBD">
        <w:rPr>
          <w:sz w:val="24"/>
          <w:szCs w:val="24"/>
        </w:rPr>
        <w:lastRenderedPageBreak/>
        <w:t>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EA35B5">
        <w:rPr>
          <w:sz w:val="24"/>
          <w:szCs w:val="24"/>
        </w:rPr>
        <w:t xml:space="preserve"> </w:t>
      </w:r>
      <w:proofErr w:type="spellStart"/>
      <w:r w:rsidR="00EA35B5">
        <w:rPr>
          <w:sz w:val="24"/>
          <w:szCs w:val="24"/>
        </w:rPr>
        <w:t>п.п</w:t>
      </w:r>
      <w:proofErr w:type="spellEnd"/>
      <w:r w:rsidR="00EA35B5">
        <w:rPr>
          <w:sz w:val="24"/>
          <w:szCs w:val="24"/>
        </w:rPr>
        <w:t>. 5, 7</w:t>
      </w:r>
      <w:r w:rsidR="00EA35B5" w:rsidRPr="00691CBD">
        <w:rPr>
          <w:sz w:val="24"/>
          <w:szCs w:val="24"/>
        </w:rPr>
        <w:t xml:space="preserve"> 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</w:t>
      </w:r>
      <w:r w:rsidR="00EA35B5">
        <w:rPr>
          <w:sz w:val="24"/>
          <w:szCs w:val="24"/>
        </w:rPr>
        <w:t>.</w:t>
      </w:r>
      <w:proofErr w:type="gramEnd"/>
    </w:p>
    <w:p w:rsidR="001203BB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273C" w:rsidRPr="00691CBD">
        <w:rPr>
          <w:sz w:val="24"/>
          <w:szCs w:val="24"/>
        </w:rPr>
        <w:t xml:space="preserve">Решаемые задачи в проекте Программы представлены </w:t>
      </w:r>
      <w:r w:rsidR="00EA35B5">
        <w:rPr>
          <w:sz w:val="24"/>
          <w:szCs w:val="24"/>
        </w:rPr>
        <w:t xml:space="preserve"> в виде </w:t>
      </w:r>
      <w:r w:rsidR="001203BB">
        <w:rPr>
          <w:sz w:val="24"/>
          <w:szCs w:val="24"/>
        </w:rPr>
        <w:t xml:space="preserve">перечня </w:t>
      </w:r>
      <w:r w:rsidR="00EA35B5">
        <w:rPr>
          <w:sz w:val="24"/>
          <w:szCs w:val="24"/>
        </w:rPr>
        <w:t>основных мероприятий</w:t>
      </w:r>
      <w:r w:rsidR="004C405B">
        <w:rPr>
          <w:sz w:val="24"/>
          <w:szCs w:val="24"/>
        </w:rPr>
        <w:t>:</w:t>
      </w:r>
    </w:p>
    <w:p w:rsidR="001203BB" w:rsidRDefault="001203BB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203BB">
        <w:t xml:space="preserve"> </w:t>
      </w:r>
      <w:r w:rsidRPr="001203BB">
        <w:rPr>
          <w:sz w:val="24"/>
          <w:szCs w:val="24"/>
        </w:rPr>
        <w:t>Установка, замена и обслуживание дорожных знаков, нанесение краской дорожной разметки;</w:t>
      </w:r>
    </w:p>
    <w:p w:rsidR="001203BB" w:rsidRDefault="001203BB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203BB">
        <w:rPr>
          <w:sz w:val="24"/>
          <w:szCs w:val="24"/>
        </w:rPr>
        <w:tab/>
        <w:t>Техническое обслуживание и текущий ремонт светофорных объектов;</w:t>
      </w:r>
    </w:p>
    <w:p w:rsidR="001203BB" w:rsidRDefault="001203BB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03BB">
        <w:rPr>
          <w:sz w:val="24"/>
          <w:szCs w:val="24"/>
        </w:rPr>
        <w:tab/>
        <w:t>Восстановление старых и устройство новых линий уличного освещения;</w:t>
      </w:r>
      <w:r w:rsidRPr="001203BB">
        <w:rPr>
          <w:sz w:val="24"/>
          <w:szCs w:val="24"/>
        </w:rPr>
        <w:tab/>
      </w:r>
    </w:p>
    <w:p w:rsidR="00FE12C2" w:rsidRDefault="00FE12C2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3BB" w:rsidRPr="001203BB">
        <w:rPr>
          <w:sz w:val="24"/>
          <w:szCs w:val="24"/>
        </w:rPr>
        <w:t>Разработка проект</w:t>
      </w:r>
      <w:r>
        <w:rPr>
          <w:sz w:val="24"/>
          <w:szCs w:val="24"/>
        </w:rPr>
        <w:t>а</w:t>
      </w:r>
      <w:r w:rsidR="004C405B">
        <w:rPr>
          <w:sz w:val="24"/>
          <w:szCs w:val="24"/>
        </w:rPr>
        <w:t xml:space="preserve"> </w:t>
      </w:r>
      <w:r w:rsidR="001203BB" w:rsidRPr="001203BB">
        <w:rPr>
          <w:sz w:val="24"/>
          <w:szCs w:val="24"/>
        </w:rPr>
        <w:t xml:space="preserve"> «Схема организации дорожного движения»</w:t>
      </w:r>
      <w:r>
        <w:rPr>
          <w:sz w:val="24"/>
          <w:szCs w:val="24"/>
        </w:rPr>
        <w:t>;</w:t>
      </w:r>
    </w:p>
    <w:p w:rsidR="001203BB" w:rsidRPr="001203BB" w:rsidRDefault="00FE12C2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3BB" w:rsidRPr="001203BB">
        <w:rPr>
          <w:sz w:val="24"/>
          <w:szCs w:val="24"/>
        </w:rPr>
        <w:t xml:space="preserve">  Устройство парковочных карманов и посадочных площадок;</w:t>
      </w:r>
    </w:p>
    <w:p w:rsidR="001203BB" w:rsidRPr="001203BB" w:rsidRDefault="00FE12C2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3BB" w:rsidRPr="001203BB">
        <w:rPr>
          <w:sz w:val="24"/>
          <w:szCs w:val="24"/>
        </w:rPr>
        <w:t>Изготовление и установка ограничивающего пешеходного и автомобильного ограждения;</w:t>
      </w:r>
    </w:p>
    <w:p w:rsidR="001203BB" w:rsidRPr="001203BB" w:rsidRDefault="00FE12C2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3BB" w:rsidRPr="001203BB">
        <w:rPr>
          <w:sz w:val="24"/>
          <w:szCs w:val="24"/>
        </w:rPr>
        <w:t>Проведение текущего  ремонта автомобильных дорог общего пользования  местного значения;</w:t>
      </w:r>
      <w:r w:rsidR="001203BB" w:rsidRPr="001203BB">
        <w:rPr>
          <w:sz w:val="24"/>
          <w:szCs w:val="24"/>
        </w:rPr>
        <w:tab/>
      </w:r>
    </w:p>
    <w:p w:rsidR="001203BB" w:rsidRPr="001203BB" w:rsidRDefault="00FE12C2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3BB" w:rsidRPr="001203BB">
        <w:rPr>
          <w:sz w:val="24"/>
          <w:szCs w:val="24"/>
        </w:rPr>
        <w:t>Устройство  пешеходных тротуаров;</w:t>
      </w:r>
    </w:p>
    <w:p w:rsidR="001203BB" w:rsidRPr="001203BB" w:rsidRDefault="00FE12C2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203BB" w:rsidRPr="001203BB">
        <w:rPr>
          <w:sz w:val="24"/>
          <w:szCs w:val="24"/>
        </w:rPr>
        <w:tab/>
        <w:t>Организация ежедневного наблюдения за соблюдением  графиков движения общественного транспорта и количеством транспортных средств;</w:t>
      </w:r>
    </w:p>
    <w:p w:rsidR="001203BB" w:rsidRPr="001203BB" w:rsidRDefault="00FE12C2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3BB" w:rsidRPr="001203BB">
        <w:rPr>
          <w:sz w:val="24"/>
          <w:szCs w:val="24"/>
        </w:rPr>
        <w:t>Текущее содержание городской улично-дорожной сети;</w:t>
      </w:r>
    </w:p>
    <w:p w:rsidR="001203BB" w:rsidRPr="001203BB" w:rsidRDefault="00FE12C2" w:rsidP="004C4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проекта «Капитальный ремонт автомобильной дороги в асфальтобетонном исполнении по ул. Пролетарская в г. Тайшет»</w:t>
      </w:r>
      <w:r w:rsidR="004C405B">
        <w:rPr>
          <w:sz w:val="24"/>
          <w:szCs w:val="24"/>
        </w:rPr>
        <w:t>,</w:t>
      </w:r>
      <w:r w:rsidR="001203BB" w:rsidRPr="001203BB">
        <w:rPr>
          <w:sz w:val="24"/>
          <w:szCs w:val="24"/>
        </w:rPr>
        <w:tab/>
      </w:r>
      <w:r w:rsidR="001203BB" w:rsidRPr="001203BB">
        <w:rPr>
          <w:sz w:val="24"/>
          <w:szCs w:val="24"/>
        </w:rPr>
        <w:tab/>
      </w:r>
    </w:p>
    <w:p w:rsidR="000E3C03" w:rsidRDefault="004C405B" w:rsidP="004C405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не соответствует </w:t>
      </w:r>
      <w:proofErr w:type="spellStart"/>
      <w:r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>
        <w:rPr>
          <w:sz w:val="24"/>
          <w:szCs w:val="24"/>
        </w:rPr>
        <w:t xml:space="preserve"> 2.5 Порядка разработки муниципальных программ</w:t>
      </w:r>
      <w:r>
        <w:rPr>
          <w:sz w:val="24"/>
          <w:szCs w:val="24"/>
        </w:rPr>
        <w:t xml:space="preserve"> и не определяет  конечный результат реализации совокупности  взаимосвязанных мероприятий.</w:t>
      </w:r>
      <w:r w:rsidR="0027405F">
        <w:rPr>
          <w:sz w:val="24"/>
          <w:szCs w:val="24"/>
        </w:rPr>
        <w:t xml:space="preserve"> Рекомендуется доработать  и привести в соответствие с нормативн</w:t>
      </w:r>
      <w:proofErr w:type="gramStart"/>
      <w:r w:rsidR="0027405F">
        <w:rPr>
          <w:sz w:val="24"/>
          <w:szCs w:val="24"/>
        </w:rPr>
        <w:t>о-</w:t>
      </w:r>
      <w:proofErr w:type="gramEnd"/>
      <w:r w:rsidR="0027405F">
        <w:rPr>
          <w:sz w:val="24"/>
          <w:szCs w:val="24"/>
        </w:rPr>
        <w:t xml:space="preserve"> правовыми актами.</w:t>
      </w:r>
    </w:p>
    <w:p w:rsidR="0082060B" w:rsidRPr="00691CBD" w:rsidRDefault="006A235C" w:rsidP="008206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 </w:t>
      </w:r>
      <w:r w:rsidR="0082060B">
        <w:rPr>
          <w:sz w:val="24"/>
          <w:szCs w:val="24"/>
        </w:rPr>
        <w:t>снижение уровня аварийности автотранспортных средств, снижение уровня травматизма пешеходов,  снижение тяжести последствий  дорожно-транспортных происшествий, сокращение количества мест концентрации дорожно-транспортных происшествий, создание условий для предоставления транспортных услуг населению.</w:t>
      </w:r>
    </w:p>
    <w:p w:rsidR="005C69B4" w:rsidRDefault="005C69B4" w:rsidP="000E3C03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221A0">
        <w:rPr>
          <w:sz w:val="24"/>
          <w:szCs w:val="24"/>
        </w:rPr>
        <w:t>Целевые индикаторы</w:t>
      </w:r>
      <w:r w:rsidR="005655D2">
        <w:rPr>
          <w:sz w:val="24"/>
          <w:szCs w:val="24"/>
        </w:rPr>
        <w:t>, указанные в таблице 4 Программы «Сведения о показателях (индикаторах) муниципальной целевой Программы …»,</w:t>
      </w:r>
      <w:r w:rsidR="007221A0">
        <w:rPr>
          <w:sz w:val="24"/>
          <w:szCs w:val="24"/>
        </w:rPr>
        <w:t xml:space="preserve">  не в полной мере характеризуют </w:t>
      </w:r>
      <w:r w:rsidR="005655D2">
        <w:rPr>
          <w:sz w:val="24"/>
          <w:szCs w:val="24"/>
        </w:rPr>
        <w:t>конечные результаты</w:t>
      </w:r>
      <w:r w:rsidR="00655E6F">
        <w:rPr>
          <w:sz w:val="24"/>
          <w:szCs w:val="24"/>
        </w:rPr>
        <w:t xml:space="preserve">, установленные Программой, так как </w:t>
      </w:r>
      <w:r w:rsidR="007221A0">
        <w:rPr>
          <w:sz w:val="24"/>
          <w:szCs w:val="24"/>
        </w:rPr>
        <w:t xml:space="preserve"> </w:t>
      </w:r>
      <w:r w:rsidR="00655E6F">
        <w:rPr>
          <w:sz w:val="24"/>
          <w:szCs w:val="24"/>
        </w:rPr>
        <w:t>р</w:t>
      </w:r>
      <w:r w:rsidR="005655D2">
        <w:rPr>
          <w:sz w:val="24"/>
          <w:szCs w:val="24"/>
        </w:rPr>
        <w:t>азработчиком Программы</w:t>
      </w:r>
      <w:r w:rsidR="00655E6F">
        <w:rPr>
          <w:sz w:val="24"/>
          <w:szCs w:val="24"/>
        </w:rPr>
        <w:t xml:space="preserve"> перечислены планируемые работы с указанием их объемов.</w:t>
      </w:r>
      <w:r w:rsidR="005655D2">
        <w:rPr>
          <w:sz w:val="24"/>
          <w:szCs w:val="24"/>
        </w:rPr>
        <w:t xml:space="preserve">  </w:t>
      </w:r>
      <w:proofErr w:type="gramStart"/>
      <w:r w:rsidR="005655D2">
        <w:rPr>
          <w:sz w:val="24"/>
          <w:szCs w:val="24"/>
        </w:rPr>
        <w:t>П</w:t>
      </w:r>
      <w:proofErr w:type="gramEnd"/>
      <w:r w:rsidR="005655D2">
        <w:rPr>
          <w:sz w:val="24"/>
          <w:szCs w:val="24"/>
        </w:rPr>
        <w:t xml:space="preserve">о мнению Контрольно-счетной палаты, целевыми индикаторами должны быть относительные показатели, характеризующие результат достигнутой цели. В данном случае </w:t>
      </w:r>
      <w:r w:rsidR="00655E6F">
        <w:rPr>
          <w:sz w:val="24"/>
          <w:szCs w:val="24"/>
        </w:rPr>
        <w:t xml:space="preserve">это может быть динамика сокращения дорожно-транспортных происшествий, пострадавших, погибших в результате ДТП и другие. В связи с чем, разработчику Программы рекомендуется внести изменения в соответствии с </w:t>
      </w:r>
      <w:proofErr w:type="spellStart"/>
      <w:r w:rsidR="00655E6F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655E6F">
        <w:rPr>
          <w:sz w:val="24"/>
          <w:szCs w:val="24"/>
        </w:rPr>
        <w:t xml:space="preserve"> 2.8</w:t>
      </w:r>
      <w:r w:rsidR="0027405F">
        <w:rPr>
          <w:sz w:val="24"/>
          <w:szCs w:val="24"/>
        </w:rPr>
        <w:t xml:space="preserve">  Порядка разработки муниципальных программ</w:t>
      </w:r>
      <w:r w:rsidR="00655E6F">
        <w:rPr>
          <w:sz w:val="24"/>
          <w:szCs w:val="24"/>
        </w:rPr>
        <w:t>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не в полной мере соответствуют тем, что описаны </w:t>
      </w:r>
      <w:r w:rsidR="00C42006">
        <w:rPr>
          <w:sz w:val="24"/>
          <w:szCs w:val="24"/>
        </w:rPr>
        <w:t xml:space="preserve">в </w:t>
      </w:r>
      <w:r w:rsidR="00784E51">
        <w:rPr>
          <w:sz w:val="24"/>
          <w:szCs w:val="24"/>
        </w:rPr>
        <w:t>разделе</w:t>
      </w:r>
      <w:r w:rsidR="00C94D94">
        <w:rPr>
          <w:sz w:val="24"/>
          <w:szCs w:val="24"/>
        </w:rPr>
        <w:t xml:space="preserve"> </w:t>
      </w:r>
      <w:r w:rsidR="00784E51">
        <w:rPr>
          <w:sz w:val="24"/>
          <w:szCs w:val="24"/>
        </w:rPr>
        <w:t>3 «Прогноз конечных результатов</w:t>
      </w:r>
      <w:proofErr w:type="gramStart"/>
      <w:r w:rsidR="00784E51">
        <w:rPr>
          <w:sz w:val="24"/>
          <w:szCs w:val="24"/>
        </w:rPr>
        <w:t>..»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  <w:proofErr w:type="gramEnd"/>
      <w:r w:rsidR="00F44A97">
        <w:rPr>
          <w:sz w:val="24"/>
          <w:szCs w:val="24"/>
        </w:rPr>
        <w:t xml:space="preserve">Рекомендуется привести </w:t>
      </w:r>
      <w:r w:rsidR="00C94D94">
        <w:rPr>
          <w:sz w:val="24"/>
          <w:szCs w:val="24"/>
        </w:rPr>
        <w:t xml:space="preserve">их </w:t>
      </w:r>
      <w:r w:rsidR="00F44A97">
        <w:rPr>
          <w:sz w:val="24"/>
          <w:szCs w:val="24"/>
        </w:rPr>
        <w:t>в соответствие</w:t>
      </w:r>
      <w:r w:rsidR="00C94D94">
        <w:rPr>
          <w:sz w:val="24"/>
          <w:szCs w:val="24"/>
        </w:rPr>
        <w:t>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 xml:space="preserve">Меры  минимизации риска определены в разделе 7 проекта Программы  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053F26" w:rsidP="00C94D94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так же </w:t>
      </w:r>
      <w:r w:rsidRPr="00691CBD">
        <w:rPr>
          <w:sz w:val="24"/>
          <w:szCs w:val="24"/>
        </w:rPr>
        <w:t xml:space="preserve">  определены</w:t>
      </w:r>
      <w:r w:rsidR="00C94D94">
        <w:rPr>
          <w:sz w:val="24"/>
          <w:szCs w:val="24"/>
        </w:rPr>
        <w:t xml:space="preserve"> в текстовой части проекта</w:t>
      </w:r>
      <w:r w:rsidRPr="00691CBD">
        <w:rPr>
          <w:sz w:val="24"/>
          <w:szCs w:val="24"/>
        </w:rPr>
        <w:t>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паспорте Программы  и в таблице №3  проекта</w:t>
      </w:r>
      <w:r w:rsidR="003D78F0">
        <w:rPr>
          <w:sz w:val="24"/>
          <w:szCs w:val="24"/>
        </w:rPr>
        <w:t xml:space="preserve"> 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совершенствование движения транспортных средств и пешеходов, повышение уровня дисциплины участников дорожного движения, сокращение количества мест концентрации дорожно-транспортных происшествий, </w:t>
      </w:r>
      <w:r w:rsidR="007533C1">
        <w:rPr>
          <w:sz w:val="24"/>
          <w:szCs w:val="24"/>
        </w:rPr>
        <w:t>создание условий для</w:t>
      </w:r>
      <w:r w:rsidR="00201C7C">
        <w:rPr>
          <w:sz w:val="24"/>
          <w:szCs w:val="24"/>
        </w:rPr>
        <w:t xml:space="preserve"> </w:t>
      </w:r>
      <w:r w:rsidR="007533C1">
        <w:rPr>
          <w:sz w:val="24"/>
          <w:szCs w:val="24"/>
        </w:rPr>
        <w:t>предоставлени</w:t>
      </w:r>
      <w:r w:rsidR="007533C1">
        <w:rPr>
          <w:sz w:val="24"/>
          <w:szCs w:val="24"/>
        </w:rPr>
        <w:t xml:space="preserve">я </w:t>
      </w:r>
      <w:r w:rsidR="00201C7C">
        <w:rPr>
          <w:sz w:val="24"/>
          <w:szCs w:val="24"/>
        </w:rPr>
        <w:t xml:space="preserve">транспортных услуг населению в </w:t>
      </w:r>
      <w:proofErr w:type="spellStart"/>
      <w:r w:rsidR="00201C7C">
        <w:rPr>
          <w:sz w:val="24"/>
          <w:szCs w:val="24"/>
        </w:rPr>
        <w:t>Тайшетском</w:t>
      </w:r>
      <w:proofErr w:type="spellEnd"/>
      <w:r w:rsidR="00201C7C">
        <w:rPr>
          <w:sz w:val="24"/>
          <w:szCs w:val="24"/>
        </w:rPr>
        <w:t xml:space="preserve"> городском поселении.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Программы, предусмотренный её паспортом, составляет 65002,0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22814,0 тыс. рублей, в 2019 году- 20661,0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рублей, в 2020 году - 21527,0 тыс. рублей.</w:t>
      </w:r>
    </w:p>
    <w:p w:rsidR="000E3C03" w:rsidRPr="003567C6" w:rsidRDefault="000E3C03" w:rsidP="000E3C03">
      <w:pPr>
        <w:jc w:val="both"/>
        <w:rPr>
          <w:color w:val="FF0000"/>
          <w:sz w:val="24"/>
          <w:szCs w:val="24"/>
        </w:rPr>
      </w:pP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-Установка, замена и обслуживание дорожных знаков, нанесение краской дорожной разметки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3905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1250</w:t>
      </w:r>
      <w:r w:rsidRPr="00AA5F76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1300</w:t>
      </w:r>
      <w:r w:rsidRPr="00AA5F76">
        <w:rPr>
          <w:sz w:val="24"/>
          <w:szCs w:val="24"/>
        </w:rPr>
        <w:t xml:space="preserve">,0 тыс. руб., в 2020 году – </w:t>
      </w:r>
      <w:r>
        <w:rPr>
          <w:sz w:val="24"/>
          <w:szCs w:val="24"/>
        </w:rPr>
        <w:t>1355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0409 8100001050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-Техническое обслуживание и текущий ремонт светофорных объектов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1564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>
        <w:rPr>
          <w:sz w:val="24"/>
          <w:szCs w:val="24"/>
        </w:rPr>
        <w:t>21</w:t>
      </w:r>
      <w:r w:rsidRPr="00AA5F76">
        <w:rPr>
          <w:sz w:val="24"/>
          <w:szCs w:val="24"/>
        </w:rPr>
        <w:t>,0 тыс. руб., в 2020 году – 54</w:t>
      </w:r>
      <w:r>
        <w:rPr>
          <w:sz w:val="24"/>
          <w:szCs w:val="24"/>
        </w:rPr>
        <w:t>3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Восстановление старых и устройство новых линий уличного освещения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 xml:space="preserve"> 3130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1000</w:t>
      </w:r>
      <w:r w:rsidRPr="00AA5F76">
        <w:rPr>
          <w:sz w:val="24"/>
          <w:szCs w:val="24"/>
        </w:rPr>
        <w:t xml:space="preserve">,0 тыс. руб., в 2019г. – </w:t>
      </w:r>
      <w:r w:rsidR="004A0C3C">
        <w:rPr>
          <w:sz w:val="24"/>
          <w:szCs w:val="24"/>
        </w:rPr>
        <w:t>1043</w:t>
      </w:r>
      <w:r w:rsidRPr="00AA5F76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1087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Разработка проекта  «Схема организации дорожного движения»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4A0C3C">
        <w:rPr>
          <w:sz w:val="24"/>
          <w:szCs w:val="24"/>
        </w:rPr>
        <w:t>4695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1500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1565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1630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>-   Устройство парковочных карманов и посадочных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939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107E45">
        <w:rPr>
          <w:sz w:val="24"/>
          <w:szCs w:val="24"/>
        </w:rPr>
        <w:t>300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313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326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Изготовление и установка ограничивающего пешеходного и автомобильного ограждения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813</w:t>
      </w:r>
      <w:r w:rsidR="00107E45" w:rsidRPr="00107E45">
        <w:rPr>
          <w:sz w:val="24"/>
          <w:szCs w:val="24"/>
        </w:rPr>
        <w:t>,0 тыс. руб., в том числе по годам: в 2018 г. – 260,0 тыс. руб., в 2019г. – 271,0 тыс. руб., в 2020 году – 282,0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Проведение текущего  ремонта автомобильных дорог общего пользования  местного значения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7828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2500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2608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2717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Устройство  пешеходных тротуаров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1564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543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-Организация ежедневного наблюдения за соблюдением  графиков движения общественного транспорта и количеством транспортных средств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3139,0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1004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1089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0408 </w:t>
      </w:r>
      <w:r w:rsidR="003B385E" w:rsidRPr="003B385E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Текущее содержание городской улично-дорожной сети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34428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11000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11473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11955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107E45">
        <w:rPr>
          <w:sz w:val="24"/>
          <w:szCs w:val="24"/>
        </w:rPr>
        <w:t xml:space="preserve"> На р</w:t>
      </w:r>
      <w:r w:rsidRPr="00AA5F76">
        <w:rPr>
          <w:sz w:val="24"/>
          <w:szCs w:val="24"/>
        </w:rPr>
        <w:t>азработк</w:t>
      </w:r>
      <w:r w:rsidR="00107E45"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проекта «Капитальный ремонт автомобильной дороги в асфальтобетонном исполнении п</w:t>
      </w:r>
      <w:r w:rsidR="00107E45">
        <w:rPr>
          <w:sz w:val="24"/>
          <w:szCs w:val="24"/>
        </w:rPr>
        <w:t xml:space="preserve">о ул. </w:t>
      </w:r>
      <w:proofErr w:type="gramStart"/>
      <w:r w:rsidR="00107E45">
        <w:rPr>
          <w:sz w:val="24"/>
          <w:szCs w:val="24"/>
        </w:rPr>
        <w:t>Пролетарская</w:t>
      </w:r>
      <w:proofErr w:type="gramEnd"/>
      <w:r w:rsidR="00107E45">
        <w:rPr>
          <w:sz w:val="24"/>
          <w:szCs w:val="24"/>
        </w:rPr>
        <w:t xml:space="preserve"> в г. Тайшет»  запланировано </w:t>
      </w:r>
      <w:r w:rsidR="004A2C8F">
        <w:rPr>
          <w:sz w:val="24"/>
          <w:szCs w:val="24"/>
        </w:rPr>
        <w:t xml:space="preserve">только </w:t>
      </w:r>
      <w:r w:rsidR="00107E45">
        <w:rPr>
          <w:sz w:val="24"/>
          <w:szCs w:val="24"/>
        </w:rPr>
        <w:t xml:space="preserve">на 2018 год </w:t>
      </w:r>
      <w:r w:rsidR="00FB6814">
        <w:rPr>
          <w:sz w:val="24"/>
          <w:szCs w:val="24"/>
        </w:rPr>
        <w:t xml:space="preserve"> 3000,0 тыс. рублей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(КБК: 951</w:t>
      </w:r>
      <w:r w:rsidR="003B385E">
        <w:rPr>
          <w:sz w:val="24"/>
          <w:szCs w:val="24"/>
        </w:rPr>
        <w:t xml:space="preserve"> 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414</w:t>
      </w:r>
      <w:r w:rsidR="003B385E" w:rsidRPr="003B385E">
        <w:rPr>
          <w:sz w:val="24"/>
          <w:szCs w:val="24"/>
        </w:rPr>
        <w:t>)</w:t>
      </w:r>
      <w:r w:rsidR="00FB6814">
        <w:rPr>
          <w:sz w:val="24"/>
          <w:szCs w:val="24"/>
        </w:rPr>
        <w:t>.</w:t>
      </w:r>
    </w:p>
    <w:p w:rsidR="004A2C8F" w:rsidRDefault="00B649CE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№5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4A2C8F" w:rsidRPr="008B6571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объемов финансирования Программы  по аналогии явились расчеты, муниципальные контракты, действовавшие в 2017 году. </w:t>
      </w:r>
      <w:r>
        <w:rPr>
          <w:sz w:val="24"/>
          <w:szCs w:val="24"/>
        </w:rPr>
        <w:t>Разработчику  рекомендуется  при подготовке проекта Программы  обосновывать объемы финансирования программных мероприятий расчетами, сметами, калькуляциями и прочими подтверждающими документами.</w:t>
      </w:r>
    </w:p>
    <w:p w:rsidR="00E61028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реализации муниципальной целевой программы (приложение №7) составлен без указания  местоположения, адреса планируемых работ. Кроме того, не указаны суммы  финансирования по каждой планируемой работе, а только в разрезе мероприятий. </w:t>
      </w:r>
    </w:p>
    <w:p w:rsidR="00C02A2D" w:rsidRPr="00C02A2D" w:rsidRDefault="00632F39" w:rsidP="00C02A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</w:t>
      </w:r>
      <w:r w:rsidR="00C02A2D">
        <w:rPr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</w:t>
      </w:r>
      <w:proofErr w:type="spellStart"/>
      <w:r w:rsidR="00C02A2D">
        <w:rPr>
          <w:sz w:val="24"/>
          <w:szCs w:val="24"/>
        </w:rPr>
        <w:t>Тайшетского</w:t>
      </w:r>
      <w:proofErr w:type="spellEnd"/>
      <w:r w:rsidR="00C02A2D">
        <w:rPr>
          <w:sz w:val="24"/>
          <w:szCs w:val="24"/>
        </w:rPr>
        <w:t xml:space="preserve"> городского поселения </w:t>
      </w:r>
      <w:r w:rsidR="00C02A2D">
        <w:rPr>
          <w:sz w:val="24"/>
          <w:szCs w:val="24"/>
        </w:rPr>
        <w:lastRenderedPageBreak/>
        <w:t>осуществляется за счет бюджетных ассигнований,</w:t>
      </w:r>
      <w:r w:rsidR="00F86332">
        <w:rPr>
          <w:sz w:val="24"/>
          <w:szCs w:val="24"/>
        </w:rPr>
        <w:t xml:space="preserve"> </w:t>
      </w:r>
      <w:r w:rsidR="00C02A2D">
        <w:rPr>
          <w:sz w:val="24"/>
          <w:szCs w:val="24"/>
        </w:rPr>
        <w:t xml:space="preserve"> предусмотренных решением о бюджете </w:t>
      </w:r>
      <w:proofErr w:type="spellStart"/>
      <w:r w:rsidR="00C02A2D">
        <w:rPr>
          <w:sz w:val="24"/>
          <w:szCs w:val="24"/>
        </w:rPr>
        <w:t>Т</w:t>
      </w:r>
      <w:r w:rsidR="00F86332">
        <w:rPr>
          <w:sz w:val="24"/>
          <w:szCs w:val="24"/>
        </w:rPr>
        <w:t>айшетского</w:t>
      </w:r>
      <w:proofErr w:type="spellEnd"/>
      <w:r w:rsidR="00F86332">
        <w:rPr>
          <w:sz w:val="24"/>
          <w:szCs w:val="24"/>
        </w:rPr>
        <w:t xml:space="preserve"> городского поселения. </w:t>
      </w:r>
      <w:proofErr w:type="gramStart"/>
      <w:r w:rsidR="00F86332">
        <w:rPr>
          <w:sz w:val="24"/>
          <w:szCs w:val="24"/>
        </w:rPr>
        <w:t>Следовательно,</w:t>
      </w:r>
      <w:r w:rsidR="00425966">
        <w:rPr>
          <w:sz w:val="24"/>
          <w:szCs w:val="24"/>
        </w:rPr>
        <w:t xml:space="preserve"> </w:t>
      </w:r>
      <w:r w:rsidR="00C02A2D">
        <w:rPr>
          <w:sz w:val="24"/>
          <w:szCs w:val="24"/>
        </w:rPr>
        <w:t xml:space="preserve"> распределение бюджетных ассигнований на реализацию муниципальной программы утверждается решением о бюджете на очередной </w:t>
      </w:r>
      <w:r w:rsidR="00C02A2D">
        <w:rPr>
          <w:sz w:val="24"/>
          <w:szCs w:val="24"/>
        </w:rPr>
        <w:t>2018</w:t>
      </w:r>
      <w:r w:rsidR="00C02A2D">
        <w:rPr>
          <w:sz w:val="24"/>
          <w:szCs w:val="24"/>
        </w:rPr>
        <w:t xml:space="preserve"> финансовый год  и плановый период 2019-2020 </w:t>
      </w:r>
      <w:proofErr w:type="spellStart"/>
      <w:r w:rsidR="00C02A2D">
        <w:rPr>
          <w:sz w:val="24"/>
          <w:szCs w:val="24"/>
        </w:rPr>
        <w:t>г.г</w:t>
      </w:r>
      <w:proofErr w:type="spellEnd"/>
      <w:r w:rsidR="00C02A2D">
        <w:rPr>
          <w:sz w:val="24"/>
          <w:szCs w:val="24"/>
        </w:rPr>
        <w:t>. В связи с чем, Контрольно-счетная палата  рекомендует у</w:t>
      </w:r>
      <w:r w:rsidR="00C02A2D"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="00C02A2D" w:rsidRPr="00C02A2D">
        <w:rPr>
          <w:sz w:val="24"/>
          <w:szCs w:val="24"/>
        </w:rPr>
        <w:t>Тайшетского</w:t>
      </w:r>
      <w:proofErr w:type="spellEnd"/>
      <w:r w:rsidR="00C02A2D"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="00C02A2D" w:rsidRPr="00C02A2D">
        <w:rPr>
          <w:sz w:val="24"/>
          <w:szCs w:val="24"/>
        </w:rPr>
        <w:t>Тайшетского</w:t>
      </w:r>
      <w:proofErr w:type="spellEnd"/>
      <w:r w:rsidR="00C02A2D" w:rsidRPr="00C02A2D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  </w:t>
      </w:r>
      <w:r>
        <w:rPr>
          <w:sz w:val="24"/>
          <w:szCs w:val="24"/>
        </w:rPr>
        <w:t xml:space="preserve">разработчику программы </w:t>
      </w:r>
      <w:r>
        <w:rPr>
          <w:sz w:val="24"/>
          <w:szCs w:val="24"/>
        </w:rPr>
        <w:t>р</w:t>
      </w:r>
      <w:r w:rsidR="005F154B" w:rsidRPr="005F154B">
        <w:rPr>
          <w:sz w:val="24"/>
          <w:szCs w:val="24"/>
        </w:rPr>
        <w:t>ассмотре</w:t>
      </w:r>
      <w:r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>и доработать</w:t>
      </w:r>
      <w:r w:rsidR="006F7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Pr="00782BB2">
        <w:rPr>
          <w:sz w:val="24"/>
          <w:szCs w:val="24"/>
        </w:rPr>
        <w:t xml:space="preserve">«Об утверждении муниципальной целевой программы «Повышение  безопасности дорожного движения на территории </w:t>
      </w:r>
      <w:proofErr w:type="spellStart"/>
      <w:r w:rsidRPr="00782BB2">
        <w:rPr>
          <w:sz w:val="24"/>
          <w:szCs w:val="24"/>
        </w:rPr>
        <w:t>Тайшетского</w:t>
      </w:r>
      <w:proofErr w:type="spellEnd"/>
      <w:r w:rsidRPr="00782BB2">
        <w:rPr>
          <w:sz w:val="24"/>
          <w:szCs w:val="24"/>
        </w:rPr>
        <w:t xml:space="preserve"> городского поселения» на 2018-2020 годы»</w:t>
      </w:r>
      <w:r w:rsidR="00D3612B">
        <w:rPr>
          <w:sz w:val="24"/>
          <w:szCs w:val="24"/>
        </w:rPr>
        <w:t xml:space="preserve"> в соответствии с действующим законодательством.</w:t>
      </w:r>
      <w:r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B60DDE" w:rsidP="005F154B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201C7C"/>
    <w:rsid w:val="00244C38"/>
    <w:rsid w:val="0027405F"/>
    <w:rsid w:val="002839AD"/>
    <w:rsid w:val="002A2E18"/>
    <w:rsid w:val="003051F8"/>
    <w:rsid w:val="003567C6"/>
    <w:rsid w:val="0036210F"/>
    <w:rsid w:val="0038053B"/>
    <w:rsid w:val="00382919"/>
    <w:rsid w:val="003B385E"/>
    <w:rsid w:val="003D78F0"/>
    <w:rsid w:val="00424936"/>
    <w:rsid w:val="00425966"/>
    <w:rsid w:val="00466441"/>
    <w:rsid w:val="00476AB0"/>
    <w:rsid w:val="00493C04"/>
    <w:rsid w:val="004A0C3C"/>
    <w:rsid w:val="004A2C8F"/>
    <w:rsid w:val="004C405B"/>
    <w:rsid w:val="005655D2"/>
    <w:rsid w:val="005869E4"/>
    <w:rsid w:val="005C6629"/>
    <w:rsid w:val="005C69B4"/>
    <w:rsid w:val="005F154B"/>
    <w:rsid w:val="00632F39"/>
    <w:rsid w:val="00655E6F"/>
    <w:rsid w:val="00691CBD"/>
    <w:rsid w:val="006A235C"/>
    <w:rsid w:val="006E1B6E"/>
    <w:rsid w:val="006F7EB9"/>
    <w:rsid w:val="007068C9"/>
    <w:rsid w:val="0071723B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46495"/>
    <w:rsid w:val="008B6571"/>
    <w:rsid w:val="008C1958"/>
    <w:rsid w:val="008F730E"/>
    <w:rsid w:val="009669B9"/>
    <w:rsid w:val="00982F1A"/>
    <w:rsid w:val="009C48AF"/>
    <w:rsid w:val="00A1260A"/>
    <w:rsid w:val="00A2087E"/>
    <w:rsid w:val="00A313C1"/>
    <w:rsid w:val="00AA5F76"/>
    <w:rsid w:val="00AC2BD4"/>
    <w:rsid w:val="00AF193F"/>
    <w:rsid w:val="00B60DDE"/>
    <w:rsid w:val="00B63318"/>
    <w:rsid w:val="00B649CE"/>
    <w:rsid w:val="00B863BE"/>
    <w:rsid w:val="00BA23B1"/>
    <w:rsid w:val="00BC643B"/>
    <w:rsid w:val="00BD78BE"/>
    <w:rsid w:val="00C02A2D"/>
    <w:rsid w:val="00C41636"/>
    <w:rsid w:val="00C42006"/>
    <w:rsid w:val="00C94D94"/>
    <w:rsid w:val="00C95EDE"/>
    <w:rsid w:val="00CA6E4A"/>
    <w:rsid w:val="00CC715E"/>
    <w:rsid w:val="00CD555D"/>
    <w:rsid w:val="00D10172"/>
    <w:rsid w:val="00D3612B"/>
    <w:rsid w:val="00D45A03"/>
    <w:rsid w:val="00D46FD5"/>
    <w:rsid w:val="00D57786"/>
    <w:rsid w:val="00E61028"/>
    <w:rsid w:val="00EA2E0B"/>
    <w:rsid w:val="00EA35B5"/>
    <w:rsid w:val="00EA5A53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611B-D40B-44AB-95D8-45A74475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6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55</cp:revision>
  <dcterms:created xsi:type="dcterms:W3CDTF">2015-09-15T23:49:00Z</dcterms:created>
  <dcterms:modified xsi:type="dcterms:W3CDTF">2017-10-10T00:51:00Z</dcterms:modified>
</cp:coreProperties>
</file>