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1A0564" w:rsidP="000E3C03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D266C2">
        <w:rPr>
          <w:sz w:val="24"/>
          <w:szCs w:val="24"/>
        </w:rPr>
        <w:t>4</w:t>
      </w:r>
      <w:r w:rsidR="000E3C03"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F41A52">
        <w:rPr>
          <w:b/>
          <w:sz w:val="24"/>
          <w:szCs w:val="24"/>
        </w:rPr>
        <w:t>4</w:t>
      </w:r>
      <w:r w:rsidR="00D266C2">
        <w:rPr>
          <w:b/>
          <w:sz w:val="24"/>
          <w:szCs w:val="24"/>
        </w:rPr>
        <w:t>5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BD6BFA">
        <w:rPr>
          <w:sz w:val="24"/>
          <w:szCs w:val="24"/>
        </w:rPr>
        <w:t>б утверждении</w:t>
      </w:r>
      <w:r w:rsidR="00D266C2" w:rsidRPr="00D266C2">
        <w:rPr>
          <w:sz w:val="24"/>
          <w:szCs w:val="24"/>
        </w:rPr>
        <w:t xml:space="preserve">  муниципальн</w:t>
      </w:r>
      <w:r w:rsidR="00BD6BFA">
        <w:rPr>
          <w:sz w:val="24"/>
          <w:szCs w:val="24"/>
        </w:rPr>
        <w:t>ой</w:t>
      </w:r>
      <w:r w:rsidR="00D266C2" w:rsidRPr="00D266C2">
        <w:rPr>
          <w:sz w:val="24"/>
          <w:szCs w:val="24"/>
        </w:rPr>
        <w:t xml:space="preserve"> целев</w:t>
      </w:r>
      <w:r w:rsidR="00BD6BFA">
        <w:rPr>
          <w:sz w:val="24"/>
          <w:szCs w:val="24"/>
        </w:rPr>
        <w:t>ой</w:t>
      </w:r>
      <w:r w:rsidR="00D266C2" w:rsidRPr="00D266C2">
        <w:rPr>
          <w:sz w:val="24"/>
          <w:szCs w:val="24"/>
        </w:rPr>
        <w:t xml:space="preserve"> программ</w:t>
      </w:r>
      <w:r w:rsidR="00BD6BFA">
        <w:rPr>
          <w:sz w:val="24"/>
          <w:szCs w:val="24"/>
        </w:rPr>
        <w:t>ы</w:t>
      </w:r>
      <w:r w:rsidR="00D266C2" w:rsidRPr="00D266C2">
        <w:rPr>
          <w:sz w:val="24"/>
          <w:szCs w:val="24"/>
        </w:rPr>
        <w:t xml:space="preserve"> 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201</w:t>
      </w:r>
      <w:r w:rsidR="006C2A63">
        <w:rPr>
          <w:sz w:val="24"/>
          <w:szCs w:val="24"/>
        </w:rPr>
        <w:t>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20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47448C" w:rsidRPr="0047448C">
        <w:rPr>
          <w:sz w:val="24"/>
          <w:szCs w:val="24"/>
        </w:rPr>
        <w:t xml:space="preserve">«Об утверждении  муниципальной целевой программы «Благоустройство территории </w:t>
      </w:r>
      <w:proofErr w:type="spellStart"/>
      <w:r w:rsidR="0047448C" w:rsidRPr="0047448C">
        <w:rPr>
          <w:sz w:val="24"/>
          <w:szCs w:val="24"/>
        </w:rPr>
        <w:t>Тайшетского</w:t>
      </w:r>
      <w:proofErr w:type="spellEnd"/>
      <w:r w:rsidR="0047448C" w:rsidRPr="0047448C">
        <w:rPr>
          <w:sz w:val="24"/>
          <w:szCs w:val="24"/>
        </w:rPr>
        <w:t xml:space="preserve"> городского поселения  на  2018-2020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D266C2" w:rsidRPr="00D266C2">
        <w:rPr>
          <w:sz w:val="24"/>
          <w:szCs w:val="24"/>
        </w:rPr>
        <w:t xml:space="preserve">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</w:t>
      </w:r>
      <w:r w:rsidR="006C2A63">
        <w:rPr>
          <w:sz w:val="24"/>
          <w:szCs w:val="24"/>
        </w:rPr>
        <w:t>18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20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</w:t>
      </w:r>
      <w:r w:rsidR="00D266C2" w:rsidRPr="00D266C2">
        <w:rPr>
          <w:sz w:val="24"/>
          <w:szCs w:val="24"/>
        </w:rPr>
        <w:t xml:space="preserve">»,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1A0564">
        <w:rPr>
          <w:sz w:val="24"/>
          <w:szCs w:val="24"/>
        </w:rPr>
        <w:t>03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повышение уровня внешнего благоустройства и санитарного содержания территории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 </w:t>
      </w:r>
      <w:r w:rsidR="00FA0262" w:rsidRPr="00FA0262">
        <w:rPr>
          <w:sz w:val="24"/>
          <w:szCs w:val="24"/>
        </w:rPr>
        <w:t xml:space="preserve"> контроль и обеспечение надлежащего технического состояния объектов наружного уличного освещения для бесперебойного освещения улиц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</w:t>
      </w:r>
      <w:r w:rsidR="00FA0262" w:rsidRPr="00FA0262">
        <w:rPr>
          <w:sz w:val="24"/>
          <w:szCs w:val="24"/>
        </w:rPr>
        <w:t xml:space="preserve"> </w:t>
      </w:r>
      <w:r w:rsidR="00BF514C">
        <w:rPr>
          <w:sz w:val="24"/>
          <w:szCs w:val="24"/>
        </w:rPr>
        <w:t xml:space="preserve"> </w:t>
      </w:r>
      <w:r w:rsidR="00FA0262" w:rsidRPr="00FA0262">
        <w:rPr>
          <w:sz w:val="24"/>
          <w:szCs w:val="24"/>
        </w:rPr>
        <w:t xml:space="preserve">развитие и поддержка инициатив жителей </w:t>
      </w:r>
      <w:proofErr w:type="spellStart"/>
      <w:r w:rsidR="00FA0262" w:rsidRPr="00FA0262">
        <w:rPr>
          <w:sz w:val="24"/>
          <w:szCs w:val="24"/>
        </w:rPr>
        <w:t>Тайшетского</w:t>
      </w:r>
      <w:proofErr w:type="spellEnd"/>
      <w:r w:rsidR="00FA0262" w:rsidRPr="00FA0262">
        <w:rPr>
          <w:sz w:val="24"/>
          <w:szCs w:val="24"/>
        </w:rPr>
        <w:t xml:space="preserve"> городского поселения по благоустройству и санитарной очистке.</w:t>
      </w:r>
      <w:r w:rsidR="00FA273C">
        <w:rPr>
          <w:sz w:val="24"/>
          <w:szCs w:val="24"/>
        </w:rPr>
        <w:t xml:space="preserve"> </w:t>
      </w:r>
      <w:proofErr w:type="gramStart"/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D266C2">
        <w:rPr>
          <w:sz w:val="24"/>
          <w:szCs w:val="24"/>
        </w:rPr>
        <w:t>о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ст. 14</w:t>
      </w:r>
      <w:r w:rsidR="00EA35B5">
        <w:rPr>
          <w:sz w:val="24"/>
          <w:szCs w:val="24"/>
        </w:rPr>
        <w:t xml:space="preserve">, </w:t>
      </w:r>
      <w:r w:rsidR="00D266C2">
        <w:rPr>
          <w:sz w:val="24"/>
          <w:szCs w:val="24"/>
        </w:rPr>
        <w:t>1</w:t>
      </w:r>
      <w:r w:rsidR="00EA35B5">
        <w:rPr>
          <w:sz w:val="24"/>
          <w:szCs w:val="24"/>
        </w:rPr>
        <w:t>7</w:t>
      </w:r>
      <w:r w:rsidR="00EA35B5" w:rsidRPr="00691CBD">
        <w:rPr>
          <w:sz w:val="24"/>
          <w:szCs w:val="24"/>
        </w:rPr>
        <w:t xml:space="preserve">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FA0262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Основными задачами в проекте Программы являются: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lastRenderedPageBreak/>
        <w:t>- приведение в качественное состояние элементов благоустройства;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>- привлечение жителей к участию в решении проблем благоустройства;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>- содержание и обслуживание наружных сетей уличного освещения, продолжение установки светильников уличного освещения;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 xml:space="preserve">- оздоровление санитарной экологической обстановки в </w:t>
      </w:r>
      <w:proofErr w:type="spellStart"/>
      <w:r w:rsidRPr="00BF514C">
        <w:rPr>
          <w:sz w:val="24"/>
          <w:szCs w:val="24"/>
        </w:rPr>
        <w:t>Тайшетском</w:t>
      </w:r>
      <w:proofErr w:type="spellEnd"/>
      <w:r w:rsidRPr="00BF514C">
        <w:rPr>
          <w:sz w:val="24"/>
          <w:szCs w:val="24"/>
        </w:rPr>
        <w:t xml:space="preserve"> городском поселении, ликвидация свалок бытового мусора;</w:t>
      </w:r>
    </w:p>
    <w:p w:rsidR="001203BB" w:rsidRPr="001203BB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>- содержание и б</w:t>
      </w:r>
      <w:r>
        <w:rPr>
          <w:sz w:val="24"/>
          <w:szCs w:val="24"/>
        </w:rPr>
        <w:t>лагоустройство мест захоронений</w:t>
      </w:r>
      <w:r w:rsidR="004C405B">
        <w:rPr>
          <w:sz w:val="24"/>
          <w:szCs w:val="24"/>
        </w:rPr>
        <w:t>,</w:t>
      </w:r>
      <w:r w:rsidR="001203BB" w:rsidRPr="001203BB">
        <w:rPr>
          <w:sz w:val="24"/>
          <w:szCs w:val="24"/>
        </w:rPr>
        <w:tab/>
      </w:r>
      <w:r w:rsidR="001203BB" w:rsidRPr="001203BB">
        <w:rPr>
          <w:sz w:val="24"/>
          <w:szCs w:val="24"/>
        </w:rPr>
        <w:tab/>
      </w:r>
    </w:p>
    <w:p w:rsidR="000E3C03" w:rsidRDefault="004C405B" w:rsidP="004C405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соответствует </w:t>
      </w:r>
      <w:proofErr w:type="spellStart"/>
      <w:r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>
        <w:rPr>
          <w:sz w:val="24"/>
          <w:szCs w:val="24"/>
        </w:rPr>
        <w:t xml:space="preserve"> 2.5 Порядка разработки муниципальных программ</w:t>
      </w:r>
      <w:r w:rsidR="0027405F">
        <w:rPr>
          <w:sz w:val="24"/>
          <w:szCs w:val="24"/>
        </w:rPr>
        <w:t>.</w:t>
      </w:r>
    </w:p>
    <w:p w:rsidR="00BF514C" w:rsidRDefault="006A235C" w:rsidP="00BF5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</w:t>
      </w:r>
    </w:p>
    <w:p w:rsidR="00BF514C" w:rsidRPr="00BF514C" w:rsidRDefault="0082060B" w:rsidP="00BF514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BF514C" w:rsidRPr="00BF514C">
        <w:rPr>
          <w:sz w:val="24"/>
          <w:szCs w:val="24"/>
        </w:rPr>
        <w:t xml:space="preserve">- повышение качества освещения улиц </w:t>
      </w:r>
      <w:proofErr w:type="spellStart"/>
      <w:r w:rsidR="00BF514C" w:rsidRPr="00BF514C">
        <w:rPr>
          <w:sz w:val="24"/>
          <w:szCs w:val="24"/>
        </w:rPr>
        <w:t>Тайшетского</w:t>
      </w:r>
      <w:proofErr w:type="spellEnd"/>
      <w:r w:rsidR="00BF514C" w:rsidRPr="00BF514C">
        <w:rPr>
          <w:sz w:val="24"/>
          <w:szCs w:val="24"/>
        </w:rPr>
        <w:t xml:space="preserve"> городского поселения;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 xml:space="preserve">- создание условий для работы и отдыха жителей </w:t>
      </w:r>
      <w:proofErr w:type="spellStart"/>
      <w:r w:rsidRPr="00BF514C">
        <w:rPr>
          <w:sz w:val="24"/>
          <w:szCs w:val="24"/>
        </w:rPr>
        <w:t>Тайшетского</w:t>
      </w:r>
      <w:proofErr w:type="spellEnd"/>
      <w:r w:rsidRPr="00BF514C">
        <w:rPr>
          <w:sz w:val="24"/>
          <w:szCs w:val="24"/>
        </w:rPr>
        <w:t xml:space="preserve"> городского поселения;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 xml:space="preserve">- улучшение состояния территории </w:t>
      </w:r>
      <w:proofErr w:type="spellStart"/>
      <w:r w:rsidRPr="00BF514C">
        <w:rPr>
          <w:sz w:val="24"/>
          <w:szCs w:val="24"/>
        </w:rPr>
        <w:t>Тайшетского</w:t>
      </w:r>
      <w:proofErr w:type="spellEnd"/>
      <w:r w:rsidRPr="00BF514C">
        <w:rPr>
          <w:sz w:val="24"/>
          <w:szCs w:val="24"/>
        </w:rPr>
        <w:t xml:space="preserve"> городского поселения;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 xml:space="preserve">- привитие жителям любви и уважения к своему городу, к соблюдению чистоты и порядка на территории </w:t>
      </w:r>
      <w:proofErr w:type="spellStart"/>
      <w:r w:rsidRPr="00BF514C">
        <w:rPr>
          <w:sz w:val="24"/>
          <w:szCs w:val="24"/>
        </w:rPr>
        <w:t>Тайшетского</w:t>
      </w:r>
      <w:proofErr w:type="spellEnd"/>
      <w:r w:rsidRPr="00BF514C">
        <w:rPr>
          <w:sz w:val="24"/>
          <w:szCs w:val="24"/>
        </w:rPr>
        <w:t xml:space="preserve"> поселения;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proofErr w:type="spellStart"/>
      <w:r w:rsidRPr="00BF514C">
        <w:rPr>
          <w:sz w:val="24"/>
          <w:szCs w:val="24"/>
        </w:rPr>
        <w:t>Тайшетского</w:t>
      </w:r>
      <w:proofErr w:type="spellEnd"/>
      <w:r w:rsidRPr="00BF514C">
        <w:rPr>
          <w:sz w:val="24"/>
          <w:szCs w:val="24"/>
        </w:rPr>
        <w:t xml:space="preserve"> городского поселения;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 xml:space="preserve">- совершенствование эстетического состояния территории </w:t>
      </w:r>
      <w:proofErr w:type="spellStart"/>
      <w:r w:rsidRPr="00BF514C">
        <w:rPr>
          <w:sz w:val="24"/>
          <w:szCs w:val="24"/>
        </w:rPr>
        <w:t>Тайшетского</w:t>
      </w:r>
      <w:proofErr w:type="spellEnd"/>
      <w:r w:rsidRPr="00BF514C">
        <w:rPr>
          <w:sz w:val="24"/>
          <w:szCs w:val="24"/>
        </w:rPr>
        <w:t xml:space="preserve"> городского поселения;</w:t>
      </w:r>
    </w:p>
    <w:p w:rsidR="00BF514C" w:rsidRP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>- создание зеленых зон для отдыха населения;</w:t>
      </w:r>
    </w:p>
    <w:p w:rsidR="00BF514C" w:rsidRDefault="00BF514C" w:rsidP="00BF514C">
      <w:pPr>
        <w:ind w:firstLine="567"/>
        <w:jc w:val="both"/>
        <w:rPr>
          <w:sz w:val="24"/>
          <w:szCs w:val="24"/>
        </w:rPr>
      </w:pPr>
      <w:r w:rsidRPr="00BF514C">
        <w:rPr>
          <w:sz w:val="24"/>
          <w:szCs w:val="24"/>
        </w:rPr>
        <w:t xml:space="preserve">- благоустроенность территории </w:t>
      </w:r>
      <w:proofErr w:type="spellStart"/>
      <w:r w:rsidRPr="00BF514C">
        <w:rPr>
          <w:sz w:val="24"/>
          <w:szCs w:val="24"/>
        </w:rPr>
        <w:t>Тайшетского</w:t>
      </w:r>
      <w:proofErr w:type="spellEnd"/>
      <w:r w:rsidRPr="00BF514C">
        <w:rPr>
          <w:sz w:val="24"/>
          <w:szCs w:val="24"/>
        </w:rPr>
        <w:t xml:space="preserve"> городского поселения.</w:t>
      </w:r>
    </w:p>
    <w:p w:rsidR="00BF514C" w:rsidRDefault="00BF514C" w:rsidP="0082060B">
      <w:pPr>
        <w:ind w:firstLine="567"/>
        <w:jc w:val="both"/>
        <w:rPr>
          <w:sz w:val="24"/>
          <w:szCs w:val="24"/>
        </w:rPr>
      </w:pPr>
    </w:p>
    <w:p w:rsidR="00BF514C" w:rsidRDefault="00BF514C" w:rsidP="0082060B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221A0">
        <w:rPr>
          <w:sz w:val="24"/>
          <w:szCs w:val="24"/>
        </w:rPr>
        <w:t>Целевые индикаторы</w:t>
      </w:r>
      <w:r w:rsidR="005655D2">
        <w:rPr>
          <w:sz w:val="24"/>
          <w:szCs w:val="24"/>
        </w:rPr>
        <w:t>, указанные в</w:t>
      </w:r>
      <w:r w:rsidR="00BF514C">
        <w:rPr>
          <w:sz w:val="24"/>
          <w:szCs w:val="24"/>
        </w:rPr>
        <w:t xml:space="preserve"> паспорте Программы и </w:t>
      </w:r>
      <w:r w:rsidR="005655D2">
        <w:rPr>
          <w:sz w:val="24"/>
          <w:szCs w:val="24"/>
        </w:rPr>
        <w:t xml:space="preserve"> таблице </w:t>
      </w:r>
      <w:r w:rsidR="00BF514C">
        <w:rPr>
          <w:sz w:val="24"/>
          <w:szCs w:val="24"/>
        </w:rPr>
        <w:t>2</w:t>
      </w:r>
      <w:r w:rsidR="005655D2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</w:t>
      </w:r>
      <w:r w:rsidR="007221A0">
        <w:rPr>
          <w:sz w:val="24"/>
          <w:szCs w:val="24"/>
        </w:rPr>
        <w:t xml:space="preserve">  не в полной мере характеризуют </w:t>
      </w:r>
      <w:r w:rsidR="005655D2">
        <w:rPr>
          <w:sz w:val="24"/>
          <w:szCs w:val="24"/>
        </w:rPr>
        <w:t>конечные результаты</w:t>
      </w:r>
      <w:r w:rsidR="00655E6F">
        <w:rPr>
          <w:sz w:val="24"/>
          <w:szCs w:val="24"/>
        </w:rPr>
        <w:t xml:space="preserve">, установленные Программой, так как </w:t>
      </w:r>
      <w:r w:rsidR="007221A0">
        <w:rPr>
          <w:sz w:val="24"/>
          <w:szCs w:val="24"/>
        </w:rPr>
        <w:t xml:space="preserve"> </w:t>
      </w:r>
      <w:r w:rsidR="00655E6F">
        <w:rPr>
          <w:sz w:val="24"/>
          <w:szCs w:val="24"/>
        </w:rPr>
        <w:t>р</w:t>
      </w:r>
      <w:r w:rsidR="005655D2">
        <w:rPr>
          <w:sz w:val="24"/>
          <w:szCs w:val="24"/>
        </w:rPr>
        <w:t>азработчиком Программы</w:t>
      </w:r>
      <w:r w:rsidR="00655E6F">
        <w:rPr>
          <w:sz w:val="24"/>
          <w:szCs w:val="24"/>
        </w:rPr>
        <w:t xml:space="preserve"> перечислены планируемые работы с указанием их объемов.</w:t>
      </w:r>
      <w:r w:rsidR="005655D2">
        <w:rPr>
          <w:sz w:val="24"/>
          <w:szCs w:val="24"/>
        </w:rPr>
        <w:t xml:space="preserve">  По мнению Контрольно-счетной палаты, целевыми индикаторами должны быть относительные показатели, характеризующие результат достигнутой цели. В данном случае </w:t>
      </w:r>
      <w:r w:rsidR="00655E6F">
        <w:rPr>
          <w:sz w:val="24"/>
          <w:szCs w:val="24"/>
        </w:rPr>
        <w:t xml:space="preserve">это может быть </w:t>
      </w:r>
      <w:r w:rsidR="00B62127">
        <w:rPr>
          <w:sz w:val="24"/>
          <w:szCs w:val="24"/>
        </w:rPr>
        <w:t xml:space="preserve">доля </w:t>
      </w:r>
      <w:r w:rsidR="00655E6F">
        <w:rPr>
          <w:sz w:val="24"/>
          <w:szCs w:val="24"/>
        </w:rPr>
        <w:t xml:space="preserve"> </w:t>
      </w:r>
      <w:r w:rsidR="00B62127">
        <w:rPr>
          <w:sz w:val="24"/>
          <w:szCs w:val="24"/>
        </w:rPr>
        <w:t>выполненного ремонта объектов благоустройства</w:t>
      </w:r>
      <w:r w:rsidR="000A73F3">
        <w:rPr>
          <w:sz w:val="24"/>
          <w:szCs w:val="24"/>
        </w:rPr>
        <w:t xml:space="preserve"> (фонтанов, скамеек, урн) от общего количества</w:t>
      </w:r>
      <w:r w:rsidR="00B62127">
        <w:rPr>
          <w:sz w:val="24"/>
          <w:szCs w:val="24"/>
        </w:rPr>
        <w:t>,  доля обеспечения работоспособности электрических сетей</w:t>
      </w:r>
      <w:r w:rsidR="000A73F3">
        <w:rPr>
          <w:sz w:val="24"/>
          <w:szCs w:val="24"/>
        </w:rPr>
        <w:t xml:space="preserve"> от общей протяженности сетей, доля очистки территории от несанкционированных свалок </w:t>
      </w:r>
      <w:r w:rsidR="00655E6F">
        <w:rPr>
          <w:sz w:val="24"/>
          <w:szCs w:val="24"/>
        </w:rPr>
        <w:t xml:space="preserve">и другие. В связи с чем, разработчику Программы рекомендуется внести изменения в соответствии с </w:t>
      </w:r>
      <w:proofErr w:type="spellStart"/>
      <w:r w:rsidR="00655E6F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655E6F">
        <w:rPr>
          <w:sz w:val="24"/>
          <w:szCs w:val="24"/>
        </w:rPr>
        <w:t xml:space="preserve"> 2.8</w:t>
      </w:r>
      <w:r w:rsidR="0027405F">
        <w:rPr>
          <w:sz w:val="24"/>
          <w:szCs w:val="24"/>
        </w:rPr>
        <w:t xml:space="preserve">  Порядка разработки муниципальных программ</w:t>
      </w:r>
      <w:r w:rsidR="00655E6F">
        <w:rPr>
          <w:sz w:val="24"/>
          <w:szCs w:val="24"/>
        </w:rPr>
        <w:t>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не в полной мере соответствуют тем, что описаны </w:t>
      </w:r>
      <w:r w:rsidR="00C42006">
        <w:rPr>
          <w:sz w:val="24"/>
          <w:szCs w:val="24"/>
        </w:rPr>
        <w:t xml:space="preserve">в </w:t>
      </w:r>
      <w:r w:rsidR="00784E51">
        <w:rPr>
          <w:sz w:val="24"/>
          <w:szCs w:val="24"/>
        </w:rPr>
        <w:t>разделе</w:t>
      </w:r>
      <w:r w:rsidR="00C94D94">
        <w:rPr>
          <w:sz w:val="24"/>
          <w:szCs w:val="24"/>
        </w:rPr>
        <w:t xml:space="preserve"> </w:t>
      </w:r>
      <w:r w:rsidR="00784E51">
        <w:rPr>
          <w:sz w:val="24"/>
          <w:szCs w:val="24"/>
        </w:rPr>
        <w:t>3 «Прогноз конечных результатов</w:t>
      </w:r>
      <w:proofErr w:type="gramStart"/>
      <w:r w:rsidR="00784E51">
        <w:rPr>
          <w:sz w:val="24"/>
          <w:szCs w:val="24"/>
        </w:rPr>
        <w:t>..»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  <w:proofErr w:type="gramEnd"/>
      <w:r w:rsidR="00F44A97">
        <w:rPr>
          <w:sz w:val="24"/>
          <w:szCs w:val="24"/>
        </w:rPr>
        <w:t xml:space="preserve">Рекомендуется привести </w:t>
      </w:r>
      <w:r w:rsidR="00C94D94">
        <w:rPr>
          <w:sz w:val="24"/>
          <w:szCs w:val="24"/>
        </w:rPr>
        <w:t xml:space="preserve">их </w:t>
      </w:r>
      <w:r w:rsidR="00F44A97">
        <w:rPr>
          <w:sz w:val="24"/>
          <w:szCs w:val="24"/>
        </w:rPr>
        <w:t>в соответствие</w:t>
      </w:r>
      <w:r w:rsidR="00C94D94">
        <w:rPr>
          <w:sz w:val="24"/>
          <w:szCs w:val="24"/>
        </w:rPr>
        <w:t>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 xml:space="preserve">Меры  минимизации риска определены в разделе 7 проекта Программы  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053F26" w:rsidP="00C94D94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так же </w:t>
      </w:r>
      <w:r w:rsidRPr="00691CBD">
        <w:rPr>
          <w:sz w:val="24"/>
          <w:szCs w:val="24"/>
        </w:rPr>
        <w:t xml:space="preserve">  определены</w:t>
      </w:r>
      <w:r w:rsidR="00C94D94">
        <w:rPr>
          <w:sz w:val="24"/>
          <w:szCs w:val="24"/>
        </w:rPr>
        <w:t xml:space="preserve"> в текстовой части проекта</w:t>
      </w:r>
      <w:r w:rsidRPr="00691CBD">
        <w:rPr>
          <w:sz w:val="24"/>
          <w:szCs w:val="24"/>
        </w:rPr>
        <w:t>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693F95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93F95">
        <w:rPr>
          <w:sz w:val="24"/>
          <w:szCs w:val="24"/>
        </w:rPr>
        <w:t xml:space="preserve">Постановления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C71AD1">
        <w:rPr>
          <w:sz w:val="24"/>
          <w:szCs w:val="24"/>
        </w:rPr>
        <w:t>30711,0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C71AD1">
        <w:rPr>
          <w:sz w:val="24"/>
          <w:szCs w:val="24"/>
        </w:rPr>
        <w:t>9784,1</w:t>
      </w:r>
      <w:r w:rsidRPr="003567C6">
        <w:rPr>
          <w:sz w:val="24"/>
          <w:szCs w:val="24"/>
        </w:rPr>
        <w:t xml:space="preserve"> тыс. рублей, в 2019 году- </w:t>
      </w:r>
      <w:r w:rsidR="00C71AD1">
        <w:rPr>
          <w:sz w:val="24"/>
          <w:szCs w:val="24"/>
        </w:rPr>
        <w:t>10200</w:t>
      </w:r>
      <w:r w:rsidRPr="003567C6">
        <w:rPr>
          <w:sz w:val="24"/>
          <w:szCs w:val="24"/>
        </w:rPr>
        <w:t>,</w:t>
      </w:r>
      <w:r w:rsidR="00C71AD1">
        <w:rPr>
          <w:sz w:val="24"/>
          <w:szCs w:val="24"/>
        </w:rPr>
        <w:t>5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C71AD1">
        <w:rPr>
          <w:sz w:val="24"/>
          <w:szCs w:val="24"/>
        </w:rPr>
        <w:t>10726,4</w:t>
      </w:r>
      <w:r w:rsidRPr="003567C6">
        <w:rPr>
          <w:sz w:val="24"/>
          <w:szCs w:val="24"/>
        </w:rPr>
        <w:t xml:space="preserve"> тыс. рублей.</w:t>
      </w:r>
    </w:p>
    <w:p w:rsidR="000E3C03" w:rsidRPr="003567C6" w:rsidRDefault="000E3C03" w:rsidP="000E3C03">
      <w:pPr>
        <w:jc w:val="both"/>
        <w:rPr>
          <w:color w:val="FF0000"/>
          <w:sz w:val="24"/>
          <w:szCs w:val="24"/>
        </w:rPr>
      </w:pP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D81542" w:rsidRPr="00D81542">
        <w:t xml:space="preserve"> </w:t>
      </w:r>
      <w:r w:rsidR="00D81542" w:rsidRPr="00D81542">
        <w:rPr>
          <w:sz w:val="24"/>
          <w:szCs w:val="24"/>
        </w:rPr>
        <w:t>Оплата за уличное освещение, текущее содержание и обслуживание наружных сетей уличного освещения территории поселения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D81542">
        <w:rPr>
          <w:sz w:val="24"/>
          <w:szCs w:val="24"/>
        </w:rPr>
        <w:t>10109,7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D81542">
        <w:rPr>
          <w:sz w:val="24"/>
          <w:szCs w:val="24"/>
        </w:rPr>
        <w:t>3230,2</w:t>
      </w:r>
      <w:r w:rsidRPr="00AA5F76">
        <w:rPr>
          <w:sz w:val="24"/>
          <w:szCs w:val="24"/>
        </w:rPr>
        <w:t xml:space="preserve"> тыс. руб., в 2019г. – </w:t>
      </w:r>
      <w:r w:rsidR="00D81542">
        <w:rPr>
          <w:sz w:val="24"/>
          <w:szCs w:val="24"/>
        </w:rPr>
        <w:t>3369,0</w:t>
      </w:r>
      <w:r w:rsidRPr="00AA5F76">
        <w:rPr>
          <w:sz w:val="24"/>
          <w:szCs w:val="24"/>
        </w:rPr>
        <w:t xml:space="preserve"> тыс. руб., в 2020 году – </w:t>
      </w:r>
      <w:r w:rsidR="00D81542">
        <w:rPr>
          <w:sz w:val="24"/>
          <w:szCs w:val="24"/>
        </w:rPr>
        <w:t>3510,5</w:t>
      </w:r>
      <w:r w:rsidRPr="00AA5F76">
        <w:rPr>
          <w:sz w:val="24"/>
          <w:szCs w:val="24"/>
        </w:rPr>
        <w:t xml:space="preserve"> тыс. руб</w:t>
      </w:r>
      <w:r w:rsidR="00FF139A">
        <w:rPr>
          <w:sz w:val="24"/>
          <w:szCs w:val="24"/>
        </w:rPr>
        <w:t>. (КБК: 951 0</w:t>
      </w:r>
      <w:r w:rsidR="00D81542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D81542">
        <w:rPr>
          <w:sz w:val="24"/>
          <w:szCs w:val="24"/>
        </w:rPr>
        <w:t>3</w:t>
      </w:r>
      <w:r w:rsidR="00FF139A">
        <w:rPr>
          <w:sz w:val="24"/>
          <w:szCs w:val="24"/>
        </w:rPr>
        <w:t xml:space="preserve"> 8100001</w:t>
      </w:r>
      <w:r w:rsidR="00D81542">
        <w:rPr>
          <w:sz w:val="24"/>
          <w:szCs w:val="24"/>
        </w:rPr>
        <w:t>13</w:t>
      </w:r>
      <w:r w:rsid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D81542" w:rsidRPr="00D81542">
        <w:t xml:space="preserve"> </w:t>
      </w:r>
      <w:r w:rsidR="00D81542" w:rsidRPr="00D81542">
        <w:rPr>
          <w:sz w:val="24"/>
          <w:szCs w:val="24"/>
        </w:rPr>
        <w:t>Приобретение семян и рассады цветов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D81542">
        <w:rPr>
          <w:sz w:val="24"/>
          <w:szCs w:val="24"/>
        </w:rPr>
        <w:t>815,3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D81542">
        <w:rPr>
          <w:sz w:val="24"/>
          <w:szCs w:val="24"/>
        </w:rPr>
        <w:t>260,5</w:t>
      </w:r>
      <w:r w:rsidRPr="00AA5F76">
        <w:rPr>
          <w:sz w:val="24"/>
          <w:szCs w:val="24"/>
        </w:rPr>
        <w:t xml:space="preserve">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D81542">
        <w:rPr>
          <w:sz w:val="24"/>
          <w:szCs w:val="24"/>
        </w:rPr>
        <w:t>271,7</w:t>
      </w:r>
      <w:r w:rsidRPr="00AA5F76">
        <w:rPr>
          <w:sz w:val="24"/>
          <w:szCs w:val="24"/>
        </w:rPr>
        <w:t xml:space="preserve"> тыс. руб., в 2020 году – </w:t>
      </w:r>
      <w:r w:rsidR="00D81542">
        <w:rPr>
          <w:sz w:val="24"/>
          <w:szCs w:val="24"/>
        </w:rPr>
        <w:t>283,1</w:t>
      </w:r>
      <w:r w:rsidRPr="00AA5F76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D81542">
        <w:rPr>
          <w:sz w:val="24"/>
          <w:szCs w:val="24"/>
        </w:rPr>
        <w:t>503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D81542">
        <w:rPr>
          <w:sz w:val="24"/>
          <w:szCs w:val="24"/>
        </w:rPr>
        <w:t>130</w:t>
      </w:r>
      <w:r w:rsidR="00FF139A" w:rsidRPr="00FF139A">
        <w:rPr>
          <w:sz w:val="24"/>
          <w:szCs w:val="24"/>
        </w:rPr>
        <w:t xml:space="preserve"> </w:t>
      </w:r>
      <w:r w:rsidR="00911DF2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911DF2" w:rsidRPr="00911DF2">
        <w:rPr>
          <w:sz w:val="24"/>
          <w:szCs w:val="24"/>
        </w:rPr>
        <w:t>Спиливание ветхих и аварийных деревьев с территории общего пользования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 xml:space="preserve"> </w:t>
      </w:r>
      <w:r w:rsidR="00911DF2">
        <w:rPr>
          <w:sz w:val="24"/>
          <w:szCs w:val="24"/>
        </w:rPr>
        <w:t>815,3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911DF2">
        <w:rPr>
          <w:sz w:val="24"/>
          <w:szCs w:val="24"/>
        </w:rPr>
        <w:t>260,5</w:t>
      </w:r>
      <w:r w:rsidRPr="00AA5F76">
        <w:rPr>
          <w:sz w:val="24"/>
          <w:szCs w:val="24"/>
        </w:rPr>
        <w:t xml:space="preserve"> тыс. руб., в 2019г. – </w:t>
      </w:r>
      <w:r w:rsidR="00911DF2">
        <w:rPr>
          <w:sz w:val="24"/>
          <w:szCs w:val="24"/>
        </w:rPr>
        <w:t>271,7</w:t>
      </w:r>
      <w:r w:rsidRPr="00AA5F76">
        <w:rPr>
          <w:sz w:val="24"/>
          <w:szCs w:val="24"/>
        </w:rPr>
        <w:t xml:space="preserve"> тыс. руб., в 2020 году – </w:t>
      </w:r>
      <w:r w:rsidR="00911DF2">
        <w:rPr>
          <w:sz w:val="24"/>
          <w:szCs w:val="24"/>
        </w:rPr>
        <w:t>283,1</w:t>
      </w:r>
      <w:r w:rsidRPr="00AA5F76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</w:t>
      </w:r>
      <w:r w:rsidR="00911DF2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52AC3" w:rsidRPr="00B52AC3">
        <w:rPr>
          <w:sz w:val="24"/>
          <w:szCs w:val="24"/>
        </w:rPr>
        <w:t>Выкос травы на территории города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B52AC3">
        <w:rPr>
          <w:sz w:val="24"/>
          <w:szCs w:val="24"/>
        </w:rPr>
        <w:t>1630,4</w:t>
      </w:r>
      <w:r w:rsidR="004A0C3C" w:rsidRPr="004A0C3C">
        <w:rPr>
          <w:sz w:val="24"/>
          <w:szCs w:val="24"/>
        </w:rPr>
        <w:t xml:space="preserve"> тыс. руб., в том числе по годам: в 2018г. – </w:t>
      </w:r>
      <w:r w:rsidR="00B52AC3">
        <w:rPr>
          <w:sz w:val="24"/>
          <w:szCs w:val="24"/>
        </w:rPr>
        <w:t>521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B52AC3">
        <w:rPr>
          <w:sz w:val="24"/>
          <w:szCs w:val="24"/>
        </w:rPr>
        <w:t>543,4</w:t>
      </w:r>
      <w:r w:rsidR="004A0C3C" w:rsidRPr="004A0C3C">
        <w:rPr>
          <w:sz w:val="24"/>
          <w:szCs w:val="24"/>
        </w:rPr>
        <w:t xml:space="preserve"> тыс. руб., в 2020 году – </w:t>
      </w:r>
      <w:r w:rsidR="00B52AC3">
        <w:rPr>
          <w:sz w:val="24"/>
          <w:szCs w:val="24"/>
        </w:rPr>
        <w:t>566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52AC3">
        <w:rPr>
          <w:sz w:val="24"/>
          <w:szCs w:val="24"/>
        </w:rPr>
        <w:t xml:space="preserve">503 </w:t>
      </w:r>
      <w:r w:rsidR="00FF139A" w:rsidRPr="00FF139A">
        <w:rPr>
          <w:sz w:val="24"/>
          <w:szCs w:val="24"/>
        </w:rPr>
        <w:t xml:space="preserve"> 8100001</w:t>
      </w:r>
      <w:r w:rsidR="00B52AC3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 xml:space="preserve">0 </w:t>
      </w:r>
      <w:r w:rsidR="00B52AC3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 xml:space="preserve">- </w:t>
      </w:r>
      <w:r w:rsidR="00FD34C0" w:rsidRPr="00FD34C0">
        <w:rPr>
          <w:sz w:val="24"/>
          <w:szCs w:val="24"/>
        </w:rPr>
        <w:t>Уборка и вывоз мусора с кладбищ; расчистка дорог от снега в зимний период; ремонт автомобильных дорог в летний период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FD34C0">
        <w:rPr>
          <w:sz w:val="24"/>
          <w:szCs w:val="24"/>
        </w:rPr>
        <w:t>2934,8</w:t>
      </w:r>
      <w:r w:rsidR="00107E45" w:rsidRPr="00107E45">
        <w:rPr>
          <w:sz w:val="24"/>
          <w:szCs w:val="24"/>
        </w:rPr>
        <w:t xml:space="preserve">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FD34C0">
        <w:rPr>
          <w:sz w:val="24"/>
          <w:szCs w:val="24"/>
        </w:rPr>
        <w:t>937,8</w:t>
      </w:r>
      <w:r w:rsidR="00107E45" w:rsidRPr="00107E45">
        <w:rPr>
          <w:sz w:val="24"/>
          <w:szCs w:val="24"/>
        </w:rPr>
        <w:t xml:space="preserve"> тыс. руб., в 2019г. – </w:t>
      </w:r>
      <w:r w:rsidR="00FD34C0">
        <w:rPr>
          <w:sz w:val="24"/>
          <w:szCs w:val="24"/>
        </w:rPr>
        <w:t>978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FD34C0">
        <w:rPr>
          <w:sz w:val="24"/>
          <w:szCs w:val="24"/>
        </w:rPr>
        <w:t>1019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AD1E2E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FD34C0">
        <w:rPr>
          <w:sz w:val="24"/>
          <w:szCs w:val="24"/>
        </w:rPr>
        <w:t>3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FD34C0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 xml:space="preserve">0 </w:t>
      </w:r>
      <w:r w:rsidR="00FD34C0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proofErr w:type="gramEnd"/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Дератизация, дезинсекция клещей на территории города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162,9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52,1</w:t>
      </w:r>
      <w:r w:rsidR="00107E45" w:rsidRPr="00107E45">
        <w:rPr>
          <w:sz w:val="24"/>
          <w:szCs w:val="24"/>
        </w:rPr>
        <w:t xml:space="preserve"> тыс. руб., в 2019г. – </w:t>
      </w:r>
      <w:r w:rsidR="00A41C83">
        <w:rPr>
          <w:sz w:val="24"/>
          <w:szCs w:val="24"/>
        </w:rPr>
        <w:t>54,3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56,5</w:t>
      </w:r>
      <w:r w:rsidR="00107E45" w:rsidRPr="00107E45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A41C83">
        <w:rPr>
          <w:sz w:val="24"/>
          <w:szCs w:val="24"/>
        </w:rPr>
        <w:t>503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Приобретение и установка детских игровых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3259,6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1042,0</w:t>
      </w:r>
      <w:r w:rsidR="00107E45" w:rsidRPr="00107E45">
        <w:rPr>
          <w:sz w:val="24"/>
          <w:szCs w:val="24"/>
        </w:rPr>
        <w:t xml:space="preserve"> тыс. руб., в 2019г. – </w:t>
      </w:r>
      <w:r w:rsidR="00A41C83">
        <w:rPr>
          <w:sz w:val="24"/>
          <w:szCs w:val="24"/>
        </w:rPr>
        <w:t>1086,0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1131,6</w:t>
      </w:r>
      <w:r w:rsidR="00107E45" w:rsidRPr="00107E45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41C83">
        <w:rPr>
          <w:sz w:val="24"/>
          <w:szCs w:val="24"/>
        </w:rPr>
        <w:t xml:space="preserve">503 </w:t>
      </w:r>
      <w:r w:rsidR="00FF139A" w:rsidRPr="00FF139A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 xml:space="preserve">- </w:t>
      </w:r>
      <w:r w:rsidR="00A41C83" w:rsidRPr="00A41C83">
        <w:rPr>
          <w:sz w:val="24"/>
          <w:szCs w:val="24"/>
        </w:rPr>
        <w:t>Ликвидация несанкционированных свалок; уборка и вывоз мусора с мест общего пользования; содержание мест массового отдыха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5217,2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1667</w:t>
      </w:r>
      <w:r w:rsidR="00107E45" w:rsidRPr="00107E45">
        <w:rPr>
          <w:sz w:val="24"/>
          <w:szCs w:val="24"/>
        </w:rPr>
        <w:t xml:space="preserve">,0 тыс. руб., в 2019г. – </w:t>
      </w:r>
      <w:r w:rsidR="00A41C83">
        <w:rPr>
          <w:sz w:val="24"/>
          <w:szCs w:val="24"/>
        </w:rPr>
        <w:t>1738,6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1811,6</w:t>
      </w:r>
      <w:r w:rsidR="00107E45" w:rsidRPr="00107E45">
        <w:rPr>
          <w:sz w:val="24"/>
          <w:szCs w:val="24"/>
        </w:rPr>
        <w:t xml:space="preserve">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41C83">
        <w:rPr>
          <w:sz w:val="24"/>
          <w:szCs w:val="24"/>
        </w:rPr>
        <w:t>503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3B385E" w:rsidRPr="003B385E">
        <w:rPr>
          <w:sz w:val="24"/>
          <w:szCs w:val="24"/>
        </w:rPr>
        <w:t xml:space="preserve">0 </w:t>
      </w:r>
      <w:r w:rsidR="00A41C83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41C83" w:rsidRPr="00A41C83">
        <w:t xml:space="preserve"> </w:t>
      </w:r>
      <w:r w:rsidR="00A41C83" w:rsidRPr="00A41C83">
        <w:rPr>
          <w:sz w:val="24"/>
          <w:szCs w:val="24"/>
        </w:rPr>
        <w:t>Содержание и ремонт имущества, находящегося в местах общего пользования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312,8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107E45">
        <w:rPr>
          <w:sz w:val="24"/>
          <w:szCs w:val="24"/>
        </w:rPr>
        <w:t>100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</w:t>
      </w:r>
      <w:r w:rsidR="00107E45" w:rsidRPr="00107E45">
        <w:rPr>
          <w:sz w:val="24"/>
          <w:szCs w:val="24"/>
        </w:rPr>
        <w:t>,</w:t>
      </w:r>
      <w:r w:rsidR="00A41C83">
        <w:rPr>
          <w:sz w:val="24"/>
          <w:szCs w:val="24"/>
        </w:rPr>
        <w:t>2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107E45">
        <w:rPr>
          <w:sz w:val="24"/>
          <w:szCs w:val="24"/>
        </w:rPr>
        <w:t>108</w:t>
      </w:r>
      <w:r w:rsidR="00A41C83">
        <w:rPr>
          <w:sz w:val="24"/>
          <w:szCs w:val="24"/>
        </w:rPr>
        <w:t>,6</w:t>
      </w:r>
      <w:r w:rsidR="00107E45" w:rsidRPr="00107E45">
        <w:rPr>
          <w:sz w:val="24"/>
          <w:szCs w:val="24"/>
        </w:rPr>
        <w:t xml:space="preserve">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41C83">
        <w:rPr>
          <w:sz w:val="24"/>
          <w:szCs w:val="24"/>
        </w:rPr>
        <w:t>503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3B385E" w:rsidRPr="003B385E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Уборка бытовых отходов и иных отходов жизнедеятельности человека в городских лесах, вдоль автодорог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1630</w:t>
      </w:r>
      <w:r w:rsidR="00107E45" w:rsidRPr="00107E45">
        <w:rPr>
          <w:sz w:val="24"/>
          <w:szCs w:val="24"/>
        </w:rPr>
        <w:t>,</w:t>
      </w:r>
      <w:r w:rsidR="00A41C83">
        <w:rPr>
          <w:sz w:val="24"/>
          <w:szCs w:val="24"/>
        </w:rPr>
        <w:t>6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2019г. – </w:t>
      </w:r>
      <w:r w:rsidR="00A41C83">
        <w:rPr>
          <w:sz w:val="24"/>
          <w:szCs w:val="24"/>
        </w:rPr>
        <w:t>543,4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566,2</w:t>
      </w:r>
      <w:r w:rsidR="00107E45" w:rsidRPr="00107E45">
        <w:rPr>
          <w:sz w:val="24"/>
          <w:szCs w:val="24"/>
        </w:rPr>
        <w:t xml:space="preserve">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D1E2E">
        <w:rPr>
          <w:sz w:val="24"/>
          <w:szCs w:val="24"/>
        </w:rPr>
        <w:t>4</w:t>
      </w:r>
      <w:r w:rsidR="00A41C83">
        <w:rPr>
          <w:sz w:val="24"/>
          <w:szCs w:val="24"/>
        </w:rPr>
        <w:t>0</w:t>
      </w:r>
      <w:r w:rsidR="00AD1E2E">
        <w:rPr>
          <w:sz w:val="24"/>
          <w:szCs w:val="24"/>
        </w:rPr>
        <w:t>7</w:t>
      </w:r>
      <w:r w:rsidR="006C2A63">
        <w:rPr>
          <w:sz w:val="24"/>
          <w:szCs w:val="24"/>
        </w:rPr>
        <w:t xml:space="preserve"> 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3B385E" w:rsidRPr="003B385E">
        <w:rPr>
          <w:sz w:val="24"/>
          <w:szCs w:val="24"/>
        </w:rPr>
        <w:t xml:space="preserve">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41C83" w:rsidRDefault="00A41C8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41C83">
        <w:rPr>
          <w:sz w:val="24"/>
          <w:szCs w:val="24"/>
        </w:rPr>
        <w:t>Подготовка средств наглядной агитации (ремонт и реставрация имеющихся аншлагов, установка новых на жилых домах, зданиях, сооружениях, в местах отдыха населения, вдоль путей транспорта, около города на въезде в лес и т.д.), всего в 2018- 2020 годах –1</w:t>
      </w:r>
      <w:r>
        <w:rPr>
          <w:sz w:val="24"/>
          <w:szCs w:val="24"/>
        </w:rPr>
        <w:t>0</w:t>
      </w:r>
      <w:r w:rsidRPr="00A41C83">
        <w:rPr>
          <w:sz w:val="24"/>
          <w:szCs w:val="24"/>
        </w:rPr>
        <w:t>0,</w:t>
      </w:r>
      <w:r>
        <w:rPr>
          <w:sz w:val="24"/>
          <w:szCs w:val="24"/>
        </w:rPr>
        <w:t>0</w:t>
      </w:r>
      <w:r w:rsidRPr="00A41C83">
        <w:rPr>
          <w:sz w:val="24"/>
          <w:szCs w:val="24"/>
        </w:rPr>
        <w:t xml:space="preserve"> тыс. руб., в том числе  в 2020 году – </w:t>
      </w:r>
      <w:r w:rsidR="00AF21C3">
        <w:rPr>
          <w:sz w:val="24"/>
          <w:szCs w:val="24"/>
        </w:rPr>
        <w:t>100,0</w:t>
      </w:r>
      <w:r w:rsidRPr="00A41C83">
        <w:rPr>
          <w:sz w:val="24"/>
          <w:szCs w:val="24"/>
        </w:rPr>
        <w:t xml:space="preserve"> тыс. </w:t>
      </w:r>
      <w:r w:rsidR="00AF21C3">
        <w:rPr>
          <w:sz w:val="24"/>
          <w:szCs w:val="24"/>
        </w:rPr>
        <w:t>руб. (КБК: 951 0503 8100001130 244</w:t>
      </w:r>
      <w:r w:rsidRPr="00A41C83">
        <w:rPr>
          <w:sz w:val="24"/>
          <w:szCs w:val="24"/>
        </w:rPr>
        <w:t>);</w:t>
      </w:r>
      <w:proofErr w:type="gramEnd"/>
    </w:p>
    <w:p w:rsidR="00761DD0" w:rsidRDefault="00761DD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61DD0">
        <w:rPr>
          <w:sz w:val="24"/>
          <w:szCs w:val="24"/>
        </w:rPr>
        <w:t xml:space="preserve">- Осушение территории </w:t>
      </w:r>
      <w:proofErr w:type="spellStart"/>
      <w:r w:rsidRPr="00761DD0">
        <w:rPr>
          <w:sz w:val="24"/>
          <w:szCs w:val="24"/>
        </w:rPr>
        <w:t>Тайшетского</w:t>
      </w:r>
      <w:proofErr w:type="spellEnd"/>
      <w:r w:rsidRPr="00761DD0">
        <w:rPr>
          <w:sz w:val="24"/>
          <w:szCs w:val="24"/>
        </w:rPr>
        <w:t xml:space="preserve"> городского поселения, всего в 2018- 2020 годах –</w:t>
      </w:r>
      <w:r>
        <w:rPr>
          <w:sz w:val="24"/>
          <w:szCs w:val="24"/>
        </w:rPr>
        <w:t>3259,6</w:t>
      </w:r>
      <w:r w:rsidRPr="00761DD0">
        <w:rPr>
          <w:sz w:val="24"/>
          <w:szCs w:val="24"/>
        </w:rPr>
        <w:t xml:space="preserve"> тыс. руб., в том числе по годам: в 2018 г. – </w:t>
      </w:r>
      <w:r>
        <w:rPr>
          <w:sz w:val="24"/>
          <w:szCs w:val="24"/>
        </w:rPr>
        <w:t>1042</w:t>
      </w:r>
      <w:r w:rsidRPr="00761DD0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1086,0</w:t>
      </w:r>
      <w:r w:rsidRPr="00761DD0">
        <w:rPr>
          <w:sz w:val="24"/>
          <w:szCs w:val="24"/>
        </w:rPr>
        <w:t xml:space="preserve"> тыс. руб., в 2020 году – </w:t>
      </w:r>
      <w:r>
        <w:rPr>
          <w:sz w:val="24"/>
          <w:szCs w:val="24"/>
        </w:rPr>
        <w:t>1131,6</w:t>
      </w:r>
      <w:r w:rsidRPr="00761DD0">
        <w:rPr>
          <w:sz w:val="24"/>
          <w:szCs w:val="24"/>
        </w:rPr>
        <w:t xml:space="preserve"> тыс. руб. (КБК: 951 0503 8100001130 244);</w:t>
      </w:r>
    </w:p>
    <w:p w:rsidR="00761DD0" w:rsidRDefault="00761DD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796" w:rsidRPr="00580796">
        <w:rPr>
          <w:sz w:val="24"/>
          <w:szCs w:val="24"/>
        </w:rPr>
        <w:t>Поощрение победителей конкурса на звание «Территория образцового содержания»</w:t>
      </w:r>
      <w:r w:rsidR="00580796">
        <w:rPr>
          <w:sz w:val="24"/>
          <w:szCs w:val="24"/>
        </w:rPr>
        <w:t xml:space="preserve">, </w:t>
      </w:r>
      <w:r w:rsidRPr="00761DD0">
        <w:rPr>
          <w:sz w:val="24"/>
          <w:szCs w:val="24"/>
        </w:rPr>
        <w:t>всего в 2018- 2020 годах –</w:t>
      </w:r>
      <w:r w:rsidR="00580796">
        <w:rPr>
          <w:sz w:val="24"/>
          <w:szCs w:val="24"/>
        </w:rPr>
        <w:t>150,0</w:t>
      </w:r>
      <w:r w:rsidRPr="00761DD0">
        <w:rPr>
          <w:sz w:val="24"/>
          <w:szCs w:val="24"/>
        </w:rPr>
        <w:t xml:space="preserve"> тыс. руб., в том числе по годам: в 2018 г. – </w:t>
      </w:r>
      <w:r w:rsidR="00580796">
        <w:rPr>
          <w:sz w:val="24"/>
          <w:szCs w:val="24"/>
        </w:rPr>
        <w:t>5</w:t>
      </w:r>
      <w:r w:rsidRPr="00761DD0">
        <w:rPr>
          <w:sz w:val="24"/>
          <w:szCs w:val="24"/>
        </w:rPr>
        <w:t xml:space="preserve">0,0 тыс. руб., в 2019г. – </w:t>
      </w:r>
      <w:r w:rsidR="00580796">
        <w:rPr>
          <w:sz w:val="24"/>
          <w:szCs w:val="24"/>
        </w:rPr>
        <w:t>50,0</w:t>
      </w:r>
      <w:r w:rsidRPr="00761DD0">
        <w:rPr>
          <w:sz w:val="24"/>
          <w:szCs w:val="24"/>
        </w:rPr>
        <w:t xml:space="preserve"> тыс. руб., в 2020 году – </w:t>
      </w:r>
      <w:r w:rsidR="00580796">
        <w:rPr>
          <w:sz w:val="24"/>
          <w:szCs w:val="24"/>
        </w:rPr>
        <w:t>50,0</w:t>
      </w:r>
      <w:r w:rsidRPr="00761DD0">
        <w:rPr>
          <w:sz w:val="24"/>
          <w:szCs w:val="24"/>
        </w:rPr>
        <w:t xml:space="preserve"> тыс. руб. (КБК: 951 0503 8100001130 </w:t>
      </w:r>
      <w:r w:rsidR="00580796">
        <w:rPr>
          <w:sz w:val="24"/>
          <w:szCs w:val="24"/>
        </w:rPr>
        <w:t>360</w:t>
      </w:r>
      <w:r w:rsidRPr="00761DD0">
        <w:rPr>
          <w:sz w:val="24"/>
          <w:szCs w:val="24"/>
        </w:rPr>
        <w:t>);</w:t>
      </w:r>
    </w:p>
    <w:p w:rsidR="00C73054" w:rsidRDefault="00C73054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3054">
        <w:rPr>
          <w:sz w:val="24"/>
          <w:szCs w:val="24"/>
        </w:rPr>
        <w:t>Отлов и вывоз бродячих животных, всего в 2018- 2020 годах –</w:t>
      </w:r>
      <w:r>
        <w:rPr>
          <w:sz w:val="24"/>
          <w:szCs w:val="24"/>
        </w:rPr>
        <w:t>312,8</w:t>
      </w:r>
      <w:r w:rsidRPr="00C73054">
        <w:rPr>
          <w:sz w:val="24"/>
          <w:szCs w:val="24"/>
        </w:rPr>
        <w:t xml:space="preserve"> тыс. руб., в том числе по годам: в 2018 г. – </w:t>
      </w:r>
      <w:r w:rsidR="00861F74">
        <w:rPr>
          <w:sz w:val="24"/>
          <w:szCs w:val="24"/>
        </w:rPr>
        <w:t>10</w:t>
      </w:r>
      <w:r w:rsidRPr="00C73054">
        <w:rPr>
          <w:sz w:val="24"/>
          <w:szCs w:val="24"/>
        </w:rPr>
        <w:t xml:space="preserve">0,0 тыс. руб., в 2019г. – </w:t>
      </w:r>
      <w:r w:rsidR="00861F74">
        <w:rPr>
          <w:sz w:val="24"/>
          <w:szCs w:val="24"/>
        </w:rPr>
        <w:t>104</w:t>
      </w:r>
      <w:r w:rsidRPr="00C73054">
        <w:rPr>
          <w:sz w:val="24"/>
          <w:szCs w:val="24"/>
        </w:rPr>
        <w:t>,</w:t>
      </w:r>
      <w:r w:rsidR="00861F74">
        <w:rPr>
          <w:sz w:val="24"/>
          <w:szCs w:val="24"/>
        </w:rPr>
        <w:t>2</w:t>
      </w:r>
      <w:r w:rsidRPr="00C73054">
        <w:rPr>
          <w:sz w:val="24"/>
          <w:szCs w:val="24"/>
        </w:rPr>
        <w:t xml:space="preserve"> тыс. руб., в 2020 году – </w:t>
      </w:r>
      <w:r w:rsidR="00861F74">
        <w:rPr>
          <w:sz w:val="24"/>
          <w:szCs w:val="24"/>
        </w:rPr>
        <w:t>108,6</w:t>
      </w:r>
      <w:r w:rsidRPr="00C73054">
        <w:rPr>
          <w:sz w:val="24"/>
          <w:szCs w:val="24"/>
        </w:rPr>
        <w:t xml:space="preserve"> тыс. руб. (КБК: 951 0503 8100001130 </w:t>
      </w:r>
      <w:r w:rsidR="00861F74">
        <w:rPr>
          <w:sz w:val="24"/>
          <w:szCs w:val="24"/>
        </w:rPr>
        <w:t>244</w:t>
      </w:r>
      <w:r w:rsidRPr="00C73054">
        <w:rPr>
          <w:sz w:val="24"/>
          <w:szCs w:val="24"/>
        </w:rPr>
        <w:t>);</w:t>
      </w: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5E5BDE">
        <w:rPr>
          <w:sz w:val="24"/>
          <w:szCs w:val="24"/>
        </w:rPr>
        <w:t>В качестве о</w:t>
      </w:r>
      <w:r w:rsidRPr="008B6571">
        <w:rPr>
          <w:sz w:val="24"/>
          <w:szCs w:val="24"/>
        </w:rPr>
        <w:t>босновани</w:t>
      </w:r>
      <w:r w:rsidR="005E5BDE">
        <w:rPr>
          <w:sz w:val="24"/>
          <w:szCs w:val="24"/>
        </w:rPr>
        <w:t>я</w:t>
      </w:r>
      <w:r w:rsidRPr="008B6571">
        <w:rPr>
          <w:sz w:val="24"/>
          <w:szCs w:val="24"/>
        </w:rPr>
        <w:t xml:space="preserve">  объемов финансирования Программы  </w:t>
      </w:r>
      <w:r w:rsidR="005E5BDE">
        <w:rPr>
          <w:sz w:val="24"/>
          <w:szCs w:val="24"/>
        </w:rPr>
        <w:t xml:space="preserve">представлены </w:t>
      </w:r>
      <w:r w:rsidRPr="008B6571">
        <w:rPr>
          <w:sz w:val="24"/>
          <w:szCs w:val="24"/>
        </w:rPr>
        <w:t xml:space="preserve"> расчеты,</w:t>
      </w:r>
      <w:r w:rsidR="0007285A">
        <w:rPr>
          <w:sz w:val="24"/>
          <w:szCs w:val="24"/>
        </w:rPr>
        <w:t xml:space="preserve"> прейскуранты цен, </w:t>
      </w:r>
      <w:r w:rsidRPr="008B6571">
        <w:rPr>
          <w:sz w:val="24"/>
          <w:szCs w:val="24"/>
        </w:rPr>
        <w:t xml:space="preserve"> муниципальные контракты, </w:t>
      </w:r>
      <w:r w:rsidR="0007285A">
        <w:rPr>
          <w:sz w:val="24"/>
          <w:szCs w:val="24"/>
        </w:rPr>
        <w:t xml:space="preserve">коммерческие </w:t>
      </w:r>
      <w:proofErr w:type="gramStart"/>
      <w:r w:rsidR="0007285A">
        <w:rPr>
          <w:sz w:val="24"/>
          <w:szCs w:val="24"/>
        </w:rPr>
        <w:t>предложения</w:t>
      </w:r>
      <w:proofErr w:type="gramEnd"/>
      <w:r w:rsidR="005E5BDE">
        <w:rPr>
          <w:sz w:val="24"/>
          <w:szCs w:val="24"/>
        </w:rPr>
        <w:t xml:space="preserve"> </w:t>
      </w:r>
      <w:r w:rsidRPr="008B6571">
        <w:rPr>
          <w:sz w:val="24"/>
          <w:szCs w:val="24"/>
        </w:rPr>
        <w:t>действовавшие в 2017 году</w:t>
      </w:r>
      <w:r w:rsidR="004E5C4F">
        <w:rPr>
          <w:sz w:val="24"/>
          <w:szCs w:val="24"/>
        </w:rPr>
        <w:t xml:space="preserve"> (согласно пояснению разработчика)</w:t>
      </w:r>
      <w:r w:rsidRPr="008B6571">
        <w:rPr>
          <w:sz w:val="24"/>
          <w:szCs w:val="24"/>
        </w:rPr>
        <w:t xml:space="preserve">. </w:t>
      </w:r>
      <w:r w:rsidR="00581C05">
        <w:rPr>
          <w:sz w:val="24"/>
          <w:szCs w:val="24"/>
        </w:rPr>
        <w:t xml:space="preserve"> </w:t>
      </w:r>
    </w:p>
    <w:p w:rsidR="00581C05" w:rsidRDefault="00581C05" w:rsidP="00E03AA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Так, например,  в обоснование расходов по мероприятию «</w:t>
      </w:r>
      <w:r w:rsidRPr="00581C05">
        <w:rPr>
          <w:sz w:val="24"/>
          <w:szCs w:val="24"/>
        </w:rPr>
        <w:t>Оплата за уличное освещение, текущее содержание и обслуживание наружных сетей уличного освещения территории поселения</w:t>
      </w:r>
      <w:r>
        <w:rPr>
          <w:sz w:val="24"/>
          <w:szCs w:val="24"/>
        </w:rPr>
        <w:t xml:space="preserve">»  представлены муниципальные контракты по содержанию, техническому обслуживанию и ремонту элементов линий уличного освещения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сумму 300,1 тыс. рублей за 1 полугодие 2017 года (</w:t>
      </w:r>
      <w:r w:rsidR="001801A7">
        <w:rPr>
          <w:sz w:val="24"/>
          <w:szCs w:val="24"/>
        </w:rPr>
        <w:t xml:space="preserve">в среднем </w:t>
      </w:r>
      <w:r>
        <w:rPr>
          <w:sz w:val="24"/>
          <w:szCs w:val="24"/>
        </w:rPr>
        <w:t>300,1 х 2 полугодия = 600,2 тыс. рублей в год</w:t>
      </w:r>
      <w:proofErr w:type="gramEnd"/>
      <w:r>
        <w:rPr>
          <w:sz w:val="24"/>
          <w:szCs w:val="24"/>
        </w:rPr>
        <w:t xml:space="preserve">) и  муниципальный контракт энергоснабжения бюджетного потребителя с планом (лимитом) в суммовом </w:t>
      </w:r>
      <w:r>
        <w:rPr>
          <w:sz w:val="24"/>
          <w:szCs w:val="24"/>
        </w:rPr>
        <w:lastRenderedPageBreak/>
        <w:t xml:space="preserve">выражении  на 2017 год </w:t>
      </w:r>
      <w:r w:rsidR="001801A7">
        <w:rPr>
          <w:sz w:val="24"/>
          <w:szCs w:val="24"/>
        </w:rPr>
        <w:t xml:space="preserve"> - 1700,0 тыс. рублей, итого 2300,2 тыс. рублей, а</w:t>
      </w:r>
      <w:r>
        <w:rPr>
          <w:sz w:val="24"/>
          <w:szCs w:val="24"/>
        </w:rPr>
        <w:t xml:space="preserve"> в Программе запланирована сумма на 2018 год – 3230,20 тыс. рублей</w:t>
      </w:r>
      <w:r w:rsidR="001801A7">
        <w:rPr>
          <w:sz w:val="24"/>
          <w:szCs w:val="24"/>
        </w:rPr>
        <w:t xml:space="preserve"> (более 900,0 тыс. рублей по сравнению с предыдущим годом).  </w:t>
      </w:r>
    </w:p>
    <w:p w:rsidR="00581C05" w:rsidRDefault="004E5C4F" w:rsidP="00712D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 же</w:t>
      </w:r>
      <w:r w:rsidR="00E03AA4">
        <w:rPr>
          <w:sz w:val="24"/>
          <w:szCs w:val="24"/>
        </w:rPr>
        <w:t xml:space="preserve"> необоснованно  представлен муниципальный контракт  на выполнение работ по скашиванию травы </w:t>
      </w:r>
      <w:r w:rsidR="004B1D1C">
        <w:rPr>
          <w:sz w:val="24"/>
          <w:szCs w:val="24"/>
        </w:rPr>
        <w:t xml:space="preserve">и уходу за цветами </w:t>
      </w:r>
      <w:r w:rsidR="00E03AA4">
        <w:rPr>
          <w:sz w:val="24"/>
          <w:szCs w:val="24"/>
        </w:rPr>
        <w:t>на 2017 год в сумме 750,0 тыс. рублей</w:t>
      </w:r>
      <w:r w:rsidR="004B1D1C">
        <w:rPr>
          <w:sz w:val="24"/>
          <w:szCs w:val="24"/>
        </w:rPr>
        <w:t>.  В Программе эти два мероприятия на 2018 год  подразделены на «Приобретение семян и рассады цветов» в сумме  260,5 тыс. рублей  и «Выкос травы на территории города» в сумме 521,0 тыс. рублей</w:t>
      </w:r>
      <w:r w:rsidR="009679E6">
        <w:rPr>
          <w:sz w:val="24"/>
          <w:szCs w:val="24"/>
        </w:rPr>
        <w:t xml:space="preserve"> (итого 781,5 тыс. руб.)</w:t>
      </w:r>
      <w:r w:rsidR="004B1D1C">
        <w:rPr>
          <w:sz w:val="24"/>
          <w:szCs w:val="24"/>
        </w:rPr>
        <w:t xml:space="preserve">. Во-первых, сумма </w:t>
      </w:r>
      <w:r w:rsidR="009679E6">
        <w:rPr>
          <w:sz w:val="24"/>
          <w:szCs w:val="24"/>
        </w:rPr>
        <w:t xml:space="preserve">планируемых расходов </w:t>
      </w:r>
      <w:r w:rsidR="004B1D1C">
        <w:rPr>
          <w:sz w:val="24"/>
          <w:szCs w:val="24"/>
        </w:rPr>
        <w:t>превышает на 31,5 тыс. рублей</w:t>
      </w:r>
      <w:r w:rsidR="009679E6">
        <w:rPr>
          <w:sz w:val="24"/>
          <w:szCs w:val="24"/>
        </w:rPr>
        <w:t>, чем расходы за предыдущий 2017 год</w:t>
      </w:r>
      <w:r w:rsidR="004B1D1C">
        <w:rPr>
          <w:sz w:val="24"/>
          <w:szCs w:val="24"/>
        </w:rPr>
        <w:t xml:space="preserve">. Во-вторых,  в </w:t>
      </w:r>
      <w:r w:rsidR="00712D7E">
        <w:rPr>
          <w:sz w:val="24"/>
          <w:szCs w:val="24"/>
        </w:rPr>
        <w:t xml:space="preserve">планируемых </w:t>
      </w:r>
      <w:r w:rsidR="004B1D1C">
        <w:rPr>
          <w:sz w:val="24"/>
          <w:szCs w:val="24"/>
        </w:rPr>
        <w:t xml:space="preserve">мероприятиях Программы отсутствует </w:t>
      </w:r>
      <w:r w:rsidR="009679E6">
        <w:rPr>
          <w:sz w:val="24"/>
          <w:szCs w:val="24"/>
        </w:rPr>
        <w:t xml:space="preserve">  такой вид работ как посадка цветов, уход и полив, но   указывается в </w:t>
      </w:r>
      <w:r w:rsidR="00CC4E06">
        <w:rPr>
          <w:sz w:val="24"/>
          <w:szCs w:val="24"/>
        </w:rPr>
        <w:t>техническом задании и смете  к контракту</w:t>
      </w:r>
      <w:r w:rsidR="00712D7E">
        <w:rPr>
          <w:sz w:val="24"/>
          <w:szCs w:val="24"/>
        </w:rPr>
        <w:t xml:space="preserve"> 2017 года</w:t>
      </w:r>
      <w:r w:rsidR="00CC4E06">
        <w:rPr>
          <w:sz w:val="24"/>
          <w:szCs w:val="24"/>
        </w:rPr>
        <w:t>.</w:t>
      </w:r>
    </w:p>
    <w:p w:rsidR="003935F9" w:rsidRDefault="003935F9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Обосновывающими документами, подтверждающими расходы по планируемому  мероприятию «Дератизация, дезинсекция клещей на территории города»</w:t>
      </w:r>
      <w:r w:rsidR="00712D7E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712D7E">
        <w:rPr>
          <w:sz w:val="24"/>
          <w:szCs w:val="24"/>
        </w:rPr>
        <w:t xml:space="preserve"> по мнению </w:t>
      </w:r>
      <w:r>
        <w:rPr>
          <w:sz w:val="24"/>
          <w:szCs w:val="24"/>
        </w:rPr>
        <w:t xml:space="preserve">разработчика, является  Выписка из Прейскуранта цен, утвержденного Приказом  ФБУЗ «Центр гигиены и эпидемиологии в Иркутской области» от 13.02.2014 г. №49-П.  Контрольно-счетная палата считает, что прейскуранты цен не содержат необходимые расчеты для  подтверждения суммы </w:t>
      </w:r>
      <w:r w:rsidR="00A16E6C">
        <w:rPr>
          <w:sz w:val="24"/>
          <w:szCs w:val="24"/>
        </w:rPr>
        <w:t xml:space="preserve"> планируемых расходов (в 2018 г. – 52,1 тыс. рублей, в 2019 г. – 54,3 тыс. рублей, в  2020 г. – 56,5 тыс. рублей). Кроме того, в предыдущий 2017 год указа</w:t>
      </w:r>
      <w:r w:rsidR="00454467">
        <w:rPr>
          <w:sz w:val="24"/>
          <w:szCs w:val="24"/>
        </w:rPr>
        <w:t>нное мероприятие не исполнялось, работы не проводились.</w:t>
      </w:r>
    </w:p>
    <w:p w:rsidR="003935F9" w:rsidRDefault="004E5C4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подтверждены  расходы по мероприятию Программы  «</w:t>
      </w:r>
      <w:r w:rsidRPr="004E5C4F">
        <w:rPr>
          <w:sz w:val="24"/>
          <w:szCs w:val="24"/>
        </w:rPr>
        <w:t>Спиливание ветхих и аварийных деревьев с территории общего пользования</w:t>
      </w:r>
      <w:r>
        <w:rPr>
          <w:sz w:val="24"/>
          <w:szCs w:val="24"/>
        </w:rPr>
        <w:t xml:space="preserve">» на 2018-2020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(</w:t>
      </w:r>
      <w:r w:rsidRPr="004E5C4F">
        <w:rPr>
          <w:sz w:val="24"/>
          <w:szCs w:val="24"/>
        </w:rPr>
        <w:t>в 2018г. – 260,5 тыс. руб., в 2019г. – 271,7 тыс. руб., в 2020 году – 283,1 тыс. руб.</w:t>
      </w:r>
      <w:r>
        <w:rPr>
          <w:sz w:val="24"/>
          <w:szCs w:val="24"/>
        </w:rPr>
        <w:t xml:space="preserve">).  Разработчиком представлен муниципальный контракт, действовавший в 2017 году на сумму 147,4 тыс. рублей. Отсутствуют сведения о количестве планируемой валке деревьев. </w:t>
      </w:r>
    </w:p>
    <w:p w:rsidR="003935F9" w:rsidRDefault="004E5C4F" w:rsidP="004E5C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5F9">
        <w:rPr>
          <w:sz w:val="24"/>
          <w:szCs w:val="24"/>
        </w:rPr>
        <w:t xml:space="preserve"> </w:t>
      </w:r>
      <w:r>
        <w:rPr>
          <w:sz w:val="24"/>
          <w:szCs w:val="24"/>
        </w:rPr>
        <w:t>Аналогичные замечания и по другим  представленным документам.</w:t>
      </w:r>
    </w:p>
    <w:p w:rsidR="004A2C8F" w:rsidRPr="008B6571" w:rsidRDefault="004A2C8F" w:rsidP="007348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Разработчику  рекомендуется  при подготовке проекта Программы  обосновать объемы финансирования программных мероприятий расчетами, сметами, калькуляциями и прочими подтверждающими документами.</w:t>
      </w: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2304A0">
        <w:rPr>
          <w:sz w:val="24"/>
          <w:szCs w:val="24"/>
        </w:rPr>
        <w:t>5</w:t>
      </w:r>
      <w:r w:rsidR="00E61028">
        <w:rPr>
          <w:sz w:val="24"/>
          <w:szCs w:val="24"/>
        </w:rPr>
        <w:t xml:space="preserve">) составлен без указания </w:t>
      </w:r>
      <w:r w:rsidR="005E5BDE">
        <w:rPr>
          <w:sz w:val="24"/>
          <w:szCs w:val="24"/>
        </w:rPr>
        <w:t xml:space="preserve">перечня планируемых работ, </w:t>
      </w:r>
      <w:r w:rsidR="00E61028">
        <w:rPr>
          <w:sz w:val="24"/>
          <w:szCs w:val="24"/>
        </w:rPr>
        <w:t xml:space="preserve"> местоположения, адреса.</w:t>
      </w:r>
      <w:r w:rsidR="005E5BDE">
        <w:rPr>
          <w:sz w:val="24"/>
          <w:szCs w:val="24"/>
        </w:rPr>
        <w:t xml:space="preserve"> </w:t>
      </w:r>
      <w:r w:rsidR="00E61028">
        <w:rPr>
          <w:sz w:val="24"/>
          <w:szCs w:val="24"/>
        </w:rPr>
        <w:t xml:space="preserve"> Кроме того, не указаны суммы  финансирования по каждой планируемой работе, а только в разрезе мероприятий. </w:t>
      </w:r>
    </w:p>
    <w:p w:rsidR="00C02A2D" w:rsidRPr="00C02A2D" w:rsidRDefault="00632F39" w:rsidP="00C02A2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Следует отметить, что</w:t>
      </w:r>
      <w:r w:rsidR="00425966">
        <w:rPr>
          <w:sz w:val="24"/>
          <w:szCs w:val="24"/>
        </w:rPr>
        <w:t xml:space="preserve"> </w:t>
      </w:r>
      <w:r w:rsidR="00C02A2D">
        <w:rPr>
          <w:sz w:val="24"/>
          <w:szCs w:val="24"/>
        </w:rPr>
        <w:t xml:space="preserve">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 w:rsidR="00C02A2D">
        <w:rPr>
          <w:sz w:val="24"/>
          <w:szCs w:val="24"/>
        </w:rPr>
        <w:t>г.г</w:t>
      </w:r>
      <w:proofErr w:type="spellEnd"/>
      <w:r w:rsidR="00C02A2D">
        <w:rPr>
          <w:sz w:val="24"/>
          <w:szCs w:val="24"/>
        </w:rPr>
        <w:t>. В связи с чем, Контрольно-счетная палата  рекомендует у</w:t>
      </w:r>
      <w:r w:rsidR="00C02A2D"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="00C02A2D" w:rsidRPr="00C02A2D">
        <w:rPr>
          <w:sz w:val="24"/>
          <w:szCs w:val="24"/>
        </w:rPr>
        <w:t>Тайшетского</w:t>
      </w:r>
      <w:proofErr w:type="spellEnd"/>
      <w:r w:rsidR="00C02A2D"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="00C02A2D" w:rsidRPr="00C02A2D">
        <w:rPr>
          <w:sz w:val="24"/>
          <w:szCs w:val="24"/>
        </w:rPr>
        <w:t>Тайшетского</w:t>
      </w:r>
      <w:proofErr w:type="spellEnd"/>
      <w:r w:rsidR="00C02A2D" w:rsidRPr="00C02A2D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Pr="00782BB2">
        <w:rPr>
          <w:sz w:val="24"/>
          <w:szCs w:val="24"/>
        </w:rPr>
        <w:t xml:space="preserve">«Об утверждении муниципальной целевой программы </w:t>
      </w:r>
      <w:r w:rsidR="000D498A" w:rsidRPr="000D498A">
        <w:rPr>
          <w:sz w:val="24"/>
          <w:szCs w:val="24"/>
        </w:rPr>
        <w:t xml:space="preserve">«Благоустройство территории </w:t>
      </w:r>
      <w:proofErr w:type="spellStart"/>
      <w:r w:rsidR="000D498A" w:rsidRPr="000D498A">
        <w:rPr>
          <w:sz w:val="24"/>
          <w:szCs w:val="24"/>
        </w:rPr>
        <w:t>Тайшетского</w:t>
      </w:r>
      <w:proofErr w:type="spellEnd"/>
      <w:r w:rsidR="000D498A" w:rsidRPr="000D498A">
        <w:rPr>
          <w:sz w:val="24"/>
          <w:szCs w:val="24"/>
        </w:rPr>
        <w:t xml:space="preserve"> городског</w:t>
      </w:r>
      <w:r w:rsidR="000D498A">
        <w:rPr>
          <w:sz w:val="24"/>
          <w:szCs w:val="24"/>
        </w:rPr>
        <w:t>о поселения  на  2018-2020 г</w:t>
      </w:r>
      <w:r w:rsidR="00EF64AD">
        <w:rPr>
          <w:sz w:val="24"/>
          <w:szCs w:val="24"/>
        </w:rPr>
        <w:t>оды</w:t>
      </w:r>
      <w:r w:rsidRPr="00782BB2">
        <w:rPr>
          <w:sz w:val="24"/>
          <w:szCs w:val="24"/>
        </w:rPr>
        <w:t>»</w:t>
      </w:r>
      <w:r w:rsidR="00D3612B">
        <w:rPr>
          <w:sz w:val="24"/>
          <w:szCs w:val="24"/>
        </w:rPr>
        <w:t xml:space="preserve"> в соответствии с действующим законодательством.</w:t>
      </w:r>
      <w:r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bookmarkStart w:id="0" w:name="_GoBack"/>
      <w:bookmarkEnd w:id="0"/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E3C03"/>
    <w:rsid w:val="000E4819"/>
    <w:rsid w:val="00107E45"/>
    <w:rsid w:val="001203BB"/>
    <w:rsid w:val="00162CB1"/>
    <w:rsid w:val="001759FC"/>
    <w:rsid w:val="001801A7"/>
    <w:rsid w:val="001A0564"/>
    <w:rsid w:val="001E79DF"/>
    <w:rsid w:val="00201C7C"/>
    <w:rsid w:val="002304A0"/>
    <w:rsid w:val="00244C38"/>
    <w:rsid w:val="0027405F"/>
    <w:rsid w:val="002839AD"/>
    <w:rsid w:val="002A2E18"/>
    <w:rsid w:val="003051F8"/>
    <w:rsid w:val="003340F0"/>
    <w:rsid w:val="003567C6"/>
    <w:rsid w:val="0036210F"/>
    <w:rsid w:val="0038053B"/>
    <w:rsid w:val="00382919"/>
    <w:rsid w:val="003935F9"/>
    <w:rsid w:val="003B385E"/>
    <w:rsid w:val="003D0706"/>
    <w:rsid w:val="003D78F0"/>
    <w:rsid w:val="00424936"/>
    <w:rsid w:val="00425966"/>
    <w:rsid w:val="00454467"/>
    <w:rsid w:val="00466441"/>
    <w:rsid w:val="0047448C"/>
    <w:rsid w:val="00476AB0"/>
    <w:rsid w:val="00493C04"/>
    <w:rsid w:val="004A0C3C"/>
    <w:rsid w:val="004A2C8F"/>
    <w:rsid w:val="004B1D1C"/>
    <w:rsid w:val="004C405B"/>
    <w:rsid w:val="004E5C4F"/>
    <w:rsid w:val="00545309"/>
    <w:rsid w:val="005655D2"/>
    <w:rsid w:val="00580796"/>
    <w:rsid w:val="00581C05"/>
    <w:rsid w:val="005869E4"/>
    <w:rsid w:val="005C6629"/>
    <w:rsid w:val="005C69B4"/>
    <w:rsid w:val="005E5BDE"/>
    <w:rsid w:val="005F154B"/>
    <w:rsid w:val="00632F39"/>
    <w:rsid w:val="00655E6F"/>
    <w:rsid w:val="00691CBD"/>
    <w:rsid w:val="00693F95"/>
    <w:rsid w:val="006A235C"/>
    <w:rsid w:val="006C2A63"/>
    <w:rsid w:val="006E1B6E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E4789"/>
    <w:rsid w:val="0082060B"/>
    <w:rsid w:val="00846495"/>
    <w:rsid w:val="00861F74"/>
    <w:rsid w:val="008B6571"/>
    <w:rsid w:val="008C1958"/>
    <w:rsid w:val="008F730E"/>
    <w:rsid w:val="00911DF2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52AC3"/>
    <w:rsid w:val="00B60DDE"/>
    <w:rsid w:val="00B62127"/>
    <w:rsid w:val="00B63318"/>
    <w:rsid w:val="00B649CE"/>
    <w:rsid w:val="00B863BE"/>
    <w:rsid w:val="00BA23B1"/>
    <w:rsid w:val="00BC643B"/>
    <w:rsid w:val="00BD6BFA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21250"/>
    <w:rsid w:val="00D266C2"/>
    <w:rsid w:val="00D3612B"/>
    <w:rsid w:val="00D45A03"/>
    <w:rsid w:val="00D46FD5"/>
    <w:rsid w:val="00D57786"/>
    <w:rsid w:val="00D81542"/>
    <w:rsid w:val="00E03AA4"/>
    <w:rsid w:val="00E61028"/>
    <w:rsid w:val="00EA2E0B"/>
    <w:rsid w:val="00EA35B5"/>
    <w:rsid w:val="00EA5A53"/>
    <w:rsid w:val="00EF64AD"/>
    <w:rsid w:val="00F41A52"/>
    <w:rsid w:val="00F44A97"/>
    <w:rsid w:val="00F71FE5"/>
    <w:rsid w:val="00F86332"/>
    <w:rsid w:val="00F95F0E"/>
    <w:rsid w:val="00FA0262"/>
    <w:rsid w:val="00FA273C"/>
    <w:rsid w:val="00FB6814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A7B9-2BDF-4470-8CFD-C60FB26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6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82</cp:revision>
  <cp:lastPrinted>2017-10-27T00:45:00Z</cp:lastPrinted>
  <dcterms:created xsi:type="dcterms:W3CDTF">2015-09-15T23:49:00Z</dcterms:created>
  <dcterms:modified xsi:type="dcterms:W3CDTF">2017-10-27T00:50:00Z</dcterms:modified>
</cp:coreProperties>
</file>