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E2BA2" w:rsidP="000E3C0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E2BA2">
        <w:rPr>
          <w:b/>
          <w:sz w:val="24"/>
          <w:szCs w:val="24"/>
        </w:rPr>
        <w:t>50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>О муниципальной программе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 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72AC3" w:rsidRPr="00B72AC3">
        <w:rPr>
          <w:sz w:val="24"/>
          <w:szCs w:val="24"/>
        </w:rPr>
        <w:t xml:space="preserve">«О муниципальной программе 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</w:t>
      </w:r>
      <w:r w:rsidR="001F3B5B" w:rsidRPr="001F3B5B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B72AC3">
        <w:rPr>
          <w:sz w:val="24"/>
          <w:szCs w:val="24"/>
        </w:rPr>
        <w:t>10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поселения.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</w:t>
      </w:r>
      <w:r w:rsidR="00B72AC3">
        <w:rPr>
          <w:sz w:val="24"/>
          <w:szCs w:val="24"/>
        </w:rPr>
        <w:t>»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 xml:space="preserve"> Повышение надежности источников наружного пожарного водоснабжения. 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72AC3">
        <w:rPr>
          <w:sz w:val="24"/>
          <w:szCs w:val="24"/>
        </w:rPr>
        <w:t xml:space="preserve">Повышение противопожарной защищенности территории </w:t>
      </w:r>
      <w:proofErr w:type="spellStart"/>
      <w:r w:rsidRPr="00B72AC3">
        <w:rPr>
          <w:sz w:val="24"/>
          <w:szCs w:val="24"/>
        </w:rPr>
        <w:t>Тайшетского</w:t>
      </w:r>
      <w:proofErr w:type="spellEnd"/>
      <w:r w:rsidRPr="00B72AC3">
        <w:rPr>
          <w:sz w:val="24"/>
          <w:szCs w:val="24"/>
        </w:rPr>
        <w:t xml:space="preserve"> городского пос</w:t>
      </w:r>
      <w:r>
        <w:rPr>
          <w:sz w:val="24"/>
          <w:szCs w:val="24"/>
        </w:rPr>
        <w:t>еления прилегающей к лесным мас</w:t>
      </w:r>
      <w:r w:rsidRPr="00B72AC3">
        <w:rPr>
          <w:sz w:val="24"/>
          <w:szCs w:val="24"/>
        </w:rPr>
        <w:t>сивам.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AC3">
        <w:rPr>
          <w:sz w:val="24"/>
          <w:szCs w:val="24"/>
        </w:rPr>
        <w:t xml:space="preserve">Повышение уровня сознательности и ответственности к вопросам противопожарной безопасности жителей </w:t>
      </w:r>
      <w:proofErr w:type="spellStart"/>
      <w:r w:rsidRPr="00B72AC3">
        <w:rPr>
          <w:sz w:val="24"/>
          <w:szCs w:val="24"/>
        </w:rPr>
        <w:t>Тайшетского</w:t>
      </w:r>
      <w:proofErr w:type="spellEnd"/>
      <w:r w:rsidRPr="00B72AC3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поселения,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</w:p>
    <w:p w:rsidR="000E3C03" w:rsidRDefault="001203BB" w:rsidP="00B72AC3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  <w:r w:rsidR="004C405B">
        <w:rPr>
          <w:sz w:val="24"/>
          <w:szCs w:val="24"/>
        </w:rPr>
        <w:t xml:space="preserve">что соответствует </w:t>
      </w:r>
      <w:proofErr w:type="spellStart"/>
      <w:r w:rsidR="004C405B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4C405B">
        <w:rPr>
          <w:sz w:val="24"/>
          <w:szCs w:val="24"/>
        </w:rPr>
        <w:t xml:space="preserve"> 2.5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 xml:space="preserve">Постоянная готовность  43 источников  наружного </w:t>
      </w:r>
      <w:proofErr w:type="spellStart"/>
      <w:proofErr w:type="gramStart"/>
      <w:r w:rsidRPr="00B72AC3">
        <w:rPr>
          <w:sz w:val="24"/>
          <w:szCs w:val="24"/>
        </w:rPr>
        <w:t>водоснабже-ния</w:t>
      </w:r>
      <w:proofErr w:type="spellEnd"/>
      <w:proofErr w:type="gramEnd"/>
      <w:r w:rsidRPr="00B72AC3">
        <w:rPr>
          <w:sz w:val="24"/>
          <w:szCs w:val="24"/>
        </w:rPr>
        <w:t xml:space="preserve">  к использованию.</w:t>
      </w:r>
    </w:p>
    <w:p w:rsidR="00B72AC3" w:rsidRPr="00B72AC3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>Снижение количества зарегистрированных пожаров с 30  до 26 единиц.</w:t>
      </w:r>
    </w:p>
    <w:p w:rsidR="005C69B4" w:rsidRDefault="00B72AC3" w:rsidP="00B72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2AC3">
        <w:rPr>
          <w:sz w:val="24"/>
          <w:szCs w:val="24"/>
        </w:rPr>
        <w:t xml:space="preserve">Снижение количества погибших с 1  до 0 человека,  </w:t>
      </w:r>
      <w:proofErr w:type="gramStart"/>
      <w:r w:rsidRPr="00B72AC3">
        <w:rPr>
          <w:sz w:val="24"/>
          <w:szCs w:val="24"/>
        </w:rPr>
        <w:t>пострадав-</w:t>
      </w:r>
      <w:proofErr w:type="spellStart"/>
      <w:r w:rsidRPr="00B72AC3">
        <w:rPr>
          <w:sz w:val="24"/>
          <w:szCs w:val="24"/>
        </w:rPr>
        <w:t>ших</w:t>
      </w:r>
      <w:proofErr w:type="spellEnd"/>
      <w:proofErr w:type="gramEnd"/>
      <w:r w:rsidRPr="00B72AC3">
        <w:rPr>
          <w:sz w:val="24"/>
          <w:szCs w:val="24"/>
        </w:rPr>
        <w:t xml:space="preserve"> от пожаров  с 1 до 0 человек.</w:t>
      </w:r>
    </w:p>
    <w:p w:rsidR="00B72AC3" w:rsidRDefault="00B72AC3" w:rsidP="00B72AC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 xml:space="preserve">, указанные в </w:t>
      </w:r>
      <w:r w:rsidR="00C72389">
        <w:rPr>
          <w:sz w:val="24"/>
          <w:szCs w:val="24"/>
        </w:rPr>
        <w:t>приложении</w:t>
      </w:r>
      <w:r w:rsidR="005655D2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№2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>, установленные Программой</w:t>
      </w:r>
      <w:r w:rsidR="00C72389">
        <w:rPr>
          <w:sz w:val="24"/>
          <w:szCs w:val="24"/>
        </w:rPr>
        <w:t xml:space="preserve">, что </w:t>
      </w:r>
      <w:r w:rsidR="00655E6F">
        <w:rPr>
          <w:sz w:val="24"/>
          <w:szCs w:val="24"/>
        </w:rPr>
        <w:t xml:space="preserve"> соответств</w:t>
      </w:r>
      <w:r w:rsidR="00C72389">
        <w:rPr>
          <w:sz w:val="24"/>
          <w:szCs w:val="24"/>
        </w:rPr>
        <w:t xml:space="preserve">ует условиям </w:t>
      </w:r>
      <w:r w:rsidR="00655E6F">
        <w:rPr>
          <w:sz w:val="24"/>
          <w:szCs w:val="24"/>
        </w:rPr>
        <w:t xml:space="preserve">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2</w:t>
      </w:r>
      <w:r w:rsidR="00784E51">
        <w:rPr>
          <w:sz w:val="24"/>
          <w:szCs w:val="24"/>
        </w:rPr>
        <w:t xml:space="preserve"> «</w:t>
      </w:r>
      <w:r w:rsidR="00C72389">
        <w:rPr>
          <w:sz w:val="24"/>
          <w:szCs w:val="24"/>
        </w:rPr>
        <w:t xml:space="preserve">Цели </w:t>
      </w:r>
      <w:r w:rsidR="00F22F34">
        <w:rPr>
          <w:sz w:val="24"/>
          <w:szCs w:val="24"/>
        </w:rPr>
        <w:t>и задачи, целевые индикаторы, п</w:t>
      </w:r>
      <w:r w:rsidR="00784E51">
        <w:rPr>
          <w:sz w:val="24"/>
          <w:szCs w:val="24"/>
        </w:rPr>
        <w:t>рогноз конечных результатов</w:t>
      </w:r>
      <w:r w:rsidR="00F22F34">
        <w:rPr>
          <w:sz w:val="24"/>
          <w:szCs w:val="24"/>
        </w:rPr>
        <w:t xml:space="preserve"> Программы</w:t>
      </w:r>
      <w:r w:rsidR="00784E51">
        <w:rPr>
          <w:sz w:val="24"/>
          <w:szCs w:val="24"/>
        </w:rPr>
        <w:t>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F22F34" w:rsidRDefault="00F22F3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</w:t>
      </w:r>
      <w:r w:rsidR="00F22F34">
        <w:rPr>
          <w:sz w:val="24"/>
          <w:szCs w:val="24"/>
        </w:rPr>
        <w:t>4</w:t>
      </w:r>
      <w:r w:rsidR="00C94D94">
        <w:rPr>
          <w:sz w:val="24"/>
          <w:szCs w:val="24"/>
        </w:rPr>
        <w:t xml:space="preserve">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</w:t>
      </w:r>
      <w:r w:rsidR="00F22F34">
        <w:rPr>
          <w:sz w:val="24"/>
          <w:szCs w:val="24"/>
        </w:rPr>
        <w:t>определен в соответствии с разделом 5 Порядка разработки муниципальных программ и осуществляется ответственным исполнителем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2117DE">
        <w:rPr>
          <w:sz w:val="24"/>
          <w:szCs w:val="24"/>
        </w:rPr>
        <w:t>1269,0</w:t>
      </w:r>
      <w:r w:rsidRPr="003567C6">
        <w:rPr>
          <w:sz w:val="24"/>
          <w:szCs w:val="24"/>
        </w:rPr>
        <w:t xml:space="preserve"> тыс. рублей.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2117DE">
        <w:rPr>
          <w:sz w:val="24"/>
          <w:szCs w:val="24"/>
        </w:rPr>
        <w:t>423,0</w:t>
      </w:r>
      <w:r w:rsidRPr="003567C6">
        <w:rPr>
          <w:sz w:val="24"/>
          <w:szCs w:val="24"/>
        </w:rPr>
        <w:t xml:space="preserve"> тыс. рублей, в 2019 году- </w:t>
      </w:r>
      <w:r w:rsidR="002117DE">
        <w:rPr>
          <w:sz w:val="24"/>
          <w:szCs w:val="24"/>
        </w:rPr>
        <w:t>423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2117DE">
        <w:rPr>
          <w:sz w:val="24"/>
          <w:szCs w:val="24"/>
        </w:rPr>
        <w:t>423</w:t>
      </w:r>
      <w:r w:rsidRPr="003567C6">
        <w:rPr>
          <w:sz w:val="24"/>
          <w:szCs w:val="24"/>
        </w:rPr>
        <w:t>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909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303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2019 г. – 303,0 тыс. руб., в 2020 г. – 303,0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270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F6D" w:rsidRPr="003F3F6D">
        <w:t xml:space="preserve"> </w:t>
      </w:r>
      <w:r w:rsidR="003F3F6D">
        <w:rPr>
          <w:sz w:val="24"/>
          <w:szCs w:val="24"/>
        </w:rPr>
        <w:t>Размещение стендов, растя</w:t>
      </w:r>
      <w:r w:rsidR="003F3F6D" w:rsidRPr="003F3F6D">
        <w:rPr>
          <w:sz w:val="24"/>
          <w:szCs w:val="24"/>
        </w:rPr>
        <w:t xml:space="preserve">жек, баннеров с информацией направленной на </w:t>
      </w:r>
      <w:proofErr w:type="gramStart"/>
      <w:r w:rsidR="003F3F6D" w:rsidRPr="003F3F6D">
        <w:rPr>
          <w:sz w:val="24"/>
          <w:szCs w:val="24"/>
        </w:rPr>
        <w:t>профи-</w:t>
      </w:r>
      <w:proofErr w:type="spellStart"/>
      <w:r w:rsidR="003F3F6D" w:rsidRPr="003F3F6D">
        <w:rPr>
          <w:sz w:val="24"/>
          <w:szCs w:val="24"/>
        </w:rPr>
        <w:t>лактику</w:t>
      </w:r>
      <w:proofErr w:type="spellEnd"/>
      <w:proofErr w:type="gramEnd"/>
      <w:r w:rsidR="003F3F6D" w:rsidRPr="003F3F6D">
        <w:rPr>
          <w:sz w:val="24"/>
          <w:szCs w:val="24"/>
        </w:rPr>
        <w:t xml:space="preserve"> чрезвычайных ситуаций на территории </w:t>
      </w:r>
      <w:proofErr w:type="spellStart"/>
      <w:r w:rsidR="003F3F6D" w:rsidRPr="003F3F6D">
        <w:rPr>
          <w:sz w:val="24"/>
          <w:szCs w:val="24"/>
        </w:rPr>
        <w:t>Тайшетского</w:t>
      </w:r>
      <w:proofErr w:type="spellEnd"/>
      <w:r w:rsidR="003F3F6D" w:rsidRPr="003F3F6D">
        <w:rPr>
          <w:sz w:val="24"/>
          <w:szCs w:val="24"/>
        </w:rPr>
        <w:t xml:space="preserve"> городского поселения.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3F3F6D">
        <w:rPr>
          <w:sz w:val="24"/>
          <w:szCs w:val="24"/>
        </w:rPr>
        <w:t>75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 xml:space="preserve">,0 тыс. руб., в 2019г. – 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руб., в 2020 году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3F3F6D">
        <w:rPr>
          <w:sz w:val="24"/>
          <w:szCs w:val="24"/>
        </w:rPr>
        <w:t>41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3F3F6D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4555B">
        <w:rPr>
          <w:sz w:val="24"/>
          <w:szCs w:val="24"/>
        </w:rPr>
        <w:t>15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</w:t>
      </w:r>
      <w:r w:rsidR="001E6C42">
        <w:rPr>
          <w:sz w:val="24"/>
          <w:szCs w:val="24"/>
        </w:rPr>
        <w:t xml:space="preserve">ов финансирования Программы </w:t>
      </w:r>
      <w:r w:rsidR="00DB5C7A">
        <w:rPr>
          <w:sz w:val="24"/>
          <w:szCs w:val="24"/>
        </w:rPr>
        <w:t xml:space="preserve">на 2018-2020 годы </w:t>
      </w:r>
      <w:r w:rsidR="001E6C42">
        <w:rPr>
          <w:sz w:val="24"/>
          <w:szCs w:val="24"/>
        </w:rPr>
        <w:t xml:space="preserve"> </w:t>
      </w:r>
      <w:r w:rsidRPr="008B6571">
        <w:rPr>
          <w:sz w:val="24"/>
          <w:szCs w:val="24"/>
        </w:rPr>
        <w:t xml:space="preserve">явились </w:t>
      </w:r>
      <w:r w:rsidR="00E4555B">
        <w:rPr>
          <w:sz w:val="24"/>
          <w:szCs w:val="24"/>
        </w:rPr>
        <w:t>взятые за основу  суммы текущего года и предыдущих двух годов.   Расчеты и сметы, подтверждающие суммы финансирования  не представлены.</w:t>
      </w:r>
      <w:r w:rsidR="0053251B">
        <w:rPr>
          <w:sz w:val="24"/>
          <w:szCs w:val="24"/>
        </w:rPr>
        <w:t xml:space="preserve">    Таким образом, по мнению Контрольно-счетной палаты,  объем финансирования Программы не достаточно обоснован.</w:t>
      </w:r>
    </w:p>
    <w:p w:rsidR="007177D0" w:rsidRDefault="00E61028" w:rsidP="00275525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1F7006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1F7006">
        <w:rPr>
          <w:sz w:val="24"/>
          <w:szCs w:val="24"/>
        </w:rPr>
        <w:t>6</w:t>
      </w:r>
      <w:proofErr w:type="gramStart"/>
      <w:r w:rsidR="00DB5C7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DB5C7A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 </w:t>
      </w:r>
      <w:r w:rsidR="001F7006">
        <w:rPr>
          <w:sz w:val="24"/>
          <w:szCs w:val="24"/>
        </w:rPr>
        <w:t>утвержден ответственным исполнителем</w:t>
      </w:r>
      <w:r w:rsidR="00DB5C7A">
        <w:rPr>
          <w:sz w:val="24"/>
          <w:szCs w:val="24"/>
        </w:rPr>
        <w:t xml:space="preserve">. </w:t>
      </w:r>
      <w:r w:rsidR="001F7006">
        <w:rPr>
          <w:sz w:val="24"/>
          <w:szCs w:val="24"/>
        </w:rPr>
        <w:t xml:space="preserve"> В плане реализации </w:t>
      </w:r>
      <w:r w:rsidR="00907C86">
        <w:rPr>
          <w:sz w:val="24"/>
          <w:szCs w:val="24"/>
        </w:rPr>
        <w:t>указан</w:t>
      </w:r>
      <w:r w:rsidR="00DB5C7A">
        <w:rPr>
          <w:sz w:val="24"/>
          <w:szCs w:val="24"/>
        </w:rPr>
        <w:t>ы</w:t>
      </w:r>
      <w:r w:rsidR="00907C86">
        <w:rPr>
          <w:sz w:val="24"/>
          <w:szCs w:val="24"/>
        </w:rPr>
        <w:t xml:space="preserve"> только </w:t>
      </w:r>
      <w:r w:rsidR="00DB5C7A">
        <w:rPr>
          <w:sz w:val="24"/>
          <w:szCs w:val="24"/>
        </w:rPr>
        <w:t xml:space="preserve">мероприятия,  </w:t>
      </w:r>
      <w:r w:rsidR="00907C86" w:rsidRPr="00907C86">
        <w:rPr>
          <w:sz w:val="24"/>
          <w:szCs w:val="24"/>
        </w:rPr>
        <w:t xml:space="preserve"> </w:t>
      </w:r>
      <w:r w:rsidR="00907C86">
        <w:rPr>
          <w:sz w:val="24"/>
          <w:szCs w:val="24"/>
        </w:rPr>
        <w:t xml:space="preserve">а </w:t>
      </w:r>
      <w:r w:rsidR="001F7006">
        <w:rPr>
          <w:sz w:val="24"/>
          <w:szCs w:val="24"/>
        </w:rPr>
        <w:t xml:space="preserve"> </w:t>
      </w:r>
      <w:r w:rsidR="00907C86">
        <w:rPr>
          <w:sz w:val="24"/>
          <w:szCs w:val="24"/>
        </w:rPr>
        <w:t xml:space="preserve">адрес </w:t>
      </w:r>
      <w:r w:rsidR="00DB5C7A">
        <w:rPr>
          <w:sz w:val="24"/>
          <w:szCs w:val="24"/>
        </w:rPr>
        <w:t xml:space="preserve">(местоположение) </w:t>
      </w:r>
      <w:r w:rsidR="00907C86">
        <w:rPr>
          <w:sz w:val="24"/>
          <w:szCs w:val="24"/>
        </w:rPr>
        <w:t xml:space="preserve">планируемых работ отсутствует. </w:t>
      </w:r>
      <w:r w:rsidR="00DB5C7A">
        <w:rPr>
          <w:sz w:val="24"/>
          <w:szCs w:val="24"/>
        </w:rPr>
        <w:t xml:space="preserve"> Не указаны адреса пожарных гидрантов,  планируемых к обслуживанию,  отсутствует описание местоположения  минерализованных  полос, где  планируется и в какой период времени размещать стенды с информацией на противопожарную тему, </w:t>
      </w:r>
      <w:r w:rsidR="00275525">
        <w:rPr>
          <w:sz w:val="24"/>
          <w:szCs w:val="24"/>
        </w:rPr>
        <w:t>не указано количество печатной продукции</w:t>
      </w:r>
      <w:r w:rsidR="00B02B4A">
        <w:rPr>
          <w:sz w:val="24"/>
          <w:szCs w:val="24"/>
        </w:rPr>
        <w:t xml:space="preserve">, содержащей </w:t>
      </w:r>
      <w:r w:rsidR="00275525">
        <w:rPr>
          <w:sz w:val="24"/>
          <w:szCs w:val="24"/>
        </w:rPr>
        <w:t xml:space="preserve"> требования норм пожарной безопасности</w:t>
      </w:r>
      <w:r w:rsidR="00DB5C7A">
        <w:rPr>
          <w:sz w:val="24"/>
          <w:szCs w:val="24"/>
        </w:rPr>
        <w:t xml:space="preserve">. 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>
        <w:rPr>
          <w:sz w:val="24"/>
          <w:szCs w:val="24"/>
        </w:rPr>
        <w:t xml:space="preserve"> Ответственному разработчику рекомендуется  таблицу №6   </w:t>
      </w:r>
      <w:r w:rsidR="00DD174F">
        <w:rPr>
          <w:sz w:val="24"/>
          <w:szCs w:val="24"/>
        </w:rPr>
        <w:lastRenderedPageBreak/>
        <w:t>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муниципальной программе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2018-2020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53251B" w:rsidRPr="00C02A2D" w:rsidRDefault="0053251B" w:rsidP="0053251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F24D7" w:rsidRDefault="00BF24D7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53251B" w:rsidRDefault="0053251B" w:rsidP="000E3C03">
      <w:pPr>
        <w:jc w:val="both"/>
        <w:rPr>
          <w:sz w:val="24"/>
          <w:szCs w:val="24"/>
        </w:rPr>
      </w:pPr>
    </w:p>
    <w:p w:rsidR="0053251B" w:rsidRDefault="0053251B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44C38"/>
    <w:rsid w:val="0027405F"/>
    <w:rsid w:val="00275525"/>
    <w:rsid w:val="002839AD"/>
    <w:rsid w:val="002A2E18"/>
    <w:rsid w:val="002E0C3E"/>
    <w:rsid w:val="002E2BA2"/>
    <w:rsid w:val="003051F8"/>
    <w:rsid w:val="003567C6"/>
    <w:rsid w:val="0036210F"/>
    <w:rsid w:val="0038053B"/>
    <w:rsid w:val="00382919"/>
    <w:rsid w:val="003A6384"/>
    <w:rsid w:val="003B385E"/>
    <w:rsid w:val="003C5381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53251B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1958"/>
    <w:rsid w:val="008F730E"/>
    <w:rsid w:val="00907C86"/>
    <w:rsid w:val="009525DF"/>
    <w:rsid w:val="009669B9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F193F"/>
    <w:rsid w:val="00B02B4A"/>
    <w:rsid w:val="00B6036D"/>
    <w:rsid w:val="00B60DDE"/>
    <w:rsid w:val="00B63318"/>
    <w:rsid w:val="00B649CE"/>
    <w:rsid w:val="00B72AC3"/>
    <w:rsid w:val="00B85CA8"/>
    <w:rsid w:val="00B863BE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B5C7A"/>
    <w:rsid w:val="00DD174F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0406-C580-45AF-ADF9-483664D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78</cp:revision>
  <dcterms:created xsi:type="dcterms:W3CDTF">2015-09-15T23:49:00Z</dcterms:created>
  <dcterms:modified xsi:type="dcterms:W3CDTF">2017-10-16T03:28:00Z</dcterms:modified>
</cp:coreProperties>
</file>