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17AEF" w:rsidP="000E3C03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B32385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8C44AC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17AEF">
        <w:rPr>
          <w:b/>
          <w:sz w:val="24"/>
          <w:szCs w:val="24"/>
        </w:rPr>
        <w:t>37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8C44AC">
        <w:rPr>
          <w:sz w:val="24"/>
          <w:szCs w:val="24"/>
        </w:rPr>
        <w:t xml:space="preserve"> внесении изменений в</w:t>
      </w:r>
      <w:r w:rsidR="00D266C2" w:rsidRPr="00D266C2">
        <w:rPr>
          <w:sz w:val="24"/>
          <w:szCs w:val="24"/>
        </w:rPr>
        <w:t xml:space="preserve">  муниципальн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целев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8C44AC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201</w:t>
      </w:r>
      <w:r w:rsidR="006C2A63">
        <w:rPr>
          <w:sz w:val="24"/>
          <w:szCs w:val="24"/>
        </w:rPr>
        <w:t>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47448C" w:rsidRPr="0047448C">
        <w:rPr>
          <w:sz w:val="24"/>
          <w:szCs w:val="24"/>
        </w:rPr>
        <w:t>«</w:t>
      </w:r>
      <w:r w:rsidR="008C44AC" w:rsidRPr="008C44AC">
        <w:rPr>
          <w:sz w:val="24"/>
          <w:szCs w:val="24"/>
        </w:rPr>
        <w:t xml:space="preserve">О внесении изменений в  муниципальную целевую программу «Благоустройство территории </w:t>
      </w:r>
      <w:proofErr w:type="spellStart"/>
      <w:r w:rsidR="008C44AC" w:rsidRPr="008C44AC">
        <w:rPr>
          <w:sz w:val="24"/>
          <w:szCs w:val="24"/>
        </w:rPr>
        <w:t>Тайшетского</w:t>
      </w:r>
      <w:proofErr w:type="spellEnd"/>
      <w:r w:rsidR="008C44AC" w:rsidRPr="008C44AC">
        <w:rPr>
          <w:sz w:val="24"/>
          <w:szCs w:val="24"/>
        </w:rPr>
        <w:t xml:space="preserve"> городского поселения  на 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D266C2" w:rsidRPr="00D266C2">
        <w:rPr>
          <w:sz w:val="24"/>
          <w:szCs w:val="24"/>
        </w:rPr>
        <w:t xml:space="preserve">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</w:t>
      </w:r>
      <w:r w:rsidR="006C2A63">
        <w:rPr>
          <w:sz w:val="24"/>
          <w:szCs w:val="24"/>
        </w:rPr>
        <w:t>18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</w:t>
      </w:r>
      <w:r w:rsidR="00D266C2" w:rsidRPr="00D266C2">
        <w:rPr>
          <w:sz w:val="24"/>
          <w:szCs w:val="24"/>
        </w:rPr>
        <w:t xml:space="preserve">»,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B17AEF">
        <w:rPr>
          <w:sz w:val="24"/>
          <w:szCs w:val="24"/>
        </w:rPr>
        <w:t>19 октября</w:t>
      </w:r>
      <w:r w:rsidRPr="00691CBD">
        <w:rPr>
          <w:sz w:val="24"/>
          <w:szCs w:val="24"/>
        </w:rPr>
        <w:t xml:space="preserve"> 201</w:t>
      </w:r>
      <w:r w:rsidR="008C44AC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C44A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C44AC">
        <w:rPr>
          <w:sz w:val="24"/>
          <w:szCs w:val="24"/>
        </w:rPr>
        <w:t xml:space="preserve"> </w:t>
      </w:r>
      <w:r w:rsidR="008C44AC" w:rsidRPr="008C44AC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повышение уровня внешнего благоустройства и санитарного содержания территории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 </w:t>
      </w:r>
      <w:r w:rsidR="00FA0262" w:rsidRPr="00FA0262">
        <w:rPr>
          <w:sz w:val="24"/>
          <w:szCs w:val="24"/>
        </w:rPr>
        <w:t xml:space="preserve"> контроль и обеспечение надлежащего технического состояния объектов наружного уличного освещения для бесперебойного освещения улиц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</w:t>
      </w:r>
      <w:r w:rsidR="00FA0262" w:rsidRPr="00FA0262">
        <w:rPr>
          <w:sz w:val="24"/>
          <w:szCs w:val="24"/>
        </w:rPr>
        <w:t xml:space="preserve"> </w:t>
      </w:r>
      <w:r w:rsidR="00BF514C">
        <w:rPr>
          <w:sz w:val="24"/>
          <w:szCs w:val="24"/>
        </w:rPr>
        <w:t xml:space="preserve"> </w:t>
      </w:r>
      <w:r w:rsidR="00FA0262" w:rsidRPr="00FA0262">
        <w:rPr>
          <w:sz w:val="24"/>
          <w:szCs w:val="24"/>
        </w:rPr>
        <w:t xml:space="preserve">развитие и поддержка инициатив жителей </w:t>
      </w:r>
      <w:proofErr w:type="spellStart"/>
      <w:r w:rsidR="00FA0262" w:rsidRPr="00FA0262">
        <w:rPr>
          <w:sz w:val="24"/>
          <w:szCs w:val="24"/>
        </w:rPr>
        <w:t>Тайшетского</w:t>
      </w:r>
      <w:proofErr w:type="spellEnd"/>
      <w:r w:rsidR="00FA0262" w:rsidRPr="00FA0262">
        <w:rPr>
          <w:sz w:val="24"/>
          <w:szCs w:val="24"/>
        </w:rPr>
        <w:t xml:space="preserve"> городского поселения по благоустройству и санитарной очистке</w:t>
      </w:r>
      <w:r w:rsidR="00EA35B5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D266C2">
        <w:rPr>
          <w:sz w:val="24"/>
          <w:szCs w:val="24"/>
        </w:rPr>
        <w:t>о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ст. 14</w:t>
      </w:r>
      <w:r w:rsidR="00EA35B5">
        <w:rPr>
          <w:sz w:val="24"/>
          <w:szCs w:val="24"/>
        </w:rPr>
        <w:t xml:space="preserve">, </w:t>
      </w:r>
      <w:r w:rsidR="00D266C2">
        <w:rPr>
          <w:sz w:val="24"/>
          <w:szCs w:val="24"/>
        </w:rPr>
        <w:t>1</w:t>
      </w:r>
      <w:r w:rsidR="00EA35B5">
        <w:rPr>
          <w:sz w:val="24"/>
          <w:szCs w:val="24"/>
        </w:rPr>
        <w:t>7</w:t>
      </w:r>
      <w:r w:rsidR="00EA35B5" w:rsidRPr="00691CBD">
        <w:rPr>
          <w:sz w:val="24"/>
          <w:szCs w:val="24"/>
        </w:rPr>
        <w:t xml:space="preserve"> Федерального</w:t>
      </w:r>
      <w:proofErr w:type="gramEnd"/>
      <w:r w:rsidR="00EA35B5" w:rsidRPr="00691CBD">
        <w:rPr>
          <w:sz w:val="24"/>
          <w:szCs w:val="24"/>
        </w:rPr>
        <w:t xml:space="preserve">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  <w:r>
        <w:rPr>
          <w:sz w:val="24"/>
          <w:szCs w:val="24"/>
        </w:rPr>
        <w:tab/>
      </w:r>
    </w:p>
    <w:p w:rsidR="000E3C03" w:rsidRPr="00691CB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693F95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8C44AC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B17AEF">
        <w:rPr>
          <w:sz w:val="24"/>
          <w:szCs w:val="24"/>
        </w:rPr>
        <w:t>30165,3</w:t>
      </w:r>
      <w:r w:rsidRPr="003567C6">
        <w:rPr>
          <w:sz w:val="24"/>
          <w:szCs w:val="24"/>
        </w:rPr>
        <w:t xml:space="preserve"> тыс. рублей.</w:t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B17AEF">
        <w:rPr>
          <w:sz w:val="24"/>
          <w:szCs w:val="24"/>
        </w:rPr>
        <w:t xml:space="preserve">9238,4 </w:t>
      </w:r>
      <w:r w:rsidRPr="003567C6">
        <w:rPr>
          <w:sz w:val="24"/>
          <w:szCs w:val="24"/>
        </w:rPr>
        <w:t xml:space="preserve">тыс. рублей, в 2019 году- </w:t>
      </w:r>
      <w:r w:rsidR="00C71AD1">
        <w:rPr>
          <w:sz w:val="24"/>
          <w:szCs w:val="24"/>
        </w:rPr>
        <w:t>10200</w:t>
      </w:r>
      <w:r w:rsidRPr="003567C6">
        <w:rPr>
          <w:sz w:val="24"/>
          <w:szCs w:val="24"/>
        </w:rPr>
        <w:t>,</w:t>
      </w:r>
      <w:r w:rsidR="00C71AD1">
        <w:rPr>
          <w:sz w:val="24"/>
          <w:szCs w:val="24"/>
        </w:rPr>
        <w:t>5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C71AD1">
        <w:rPr>
          <w:sz w:val="24"/>
          <w:szCs w:val="24"/>
        </w:rPr>
        <w:t>10726,4</w:t>
      </w:r>
      <w:r w:rsidRPr="003567C6">
        <w:rPr>
          <w:sz w:val="24"/>
          <w:szCs w:val="24"/>
        </w:rPr>
        <w:t xml:space="preserve"> тыс. рублей.</w:t>
      </w:r>
      <w:r w:rsidR="008C44AC">
        <w:rPr>
          <w:sz w:val="24"/>
          <w:szCs w:val="24"/>
        </w:rPr>
        <w:t xml:space="preserve"> </w:t>
      </w:r>
    </w:p>
    <w:p w:rsidR="008C44AC" w:rsidRPr="003567C6" w:rsidRDefault="00B17AEF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объем финансирования Программы сократится на 745,8 тыс. рублей. </w:t>
      </w:r>
      <w:r w:rsidR="008C44AC">
        <w:rPr>
          <w:sz w:val="24"/>
          <w:szCs w:val="24"/>
        </w:rPr>
        <w:t xml:space="preserve">Проектом постановления изменения </w:t>
      </w:r>
      <w:r w:rsidR="00B32385">
        <w:rPr>
          <w:sz w:val="24"/>
          <w:szCs w:val="24"/>
        </w:rPr>
        <w:t xml:space="preserve">касаются объемов финансирования </w:t>
      </w:r>
      <w:r w:rsidR="008C44AC">
        <w:rPr>
          <w:sz w:val="24"/>
          <w:szCs w:val="24"/>
        </w:rPr>
        <w:t xml:space="preserve"> </w:t>
      </w:r>
      <w:r>
        <w:rPr>
          <w:sz w:val="24"/>
          <w:szCs w:val="24"/>
        </w:rPr>
        <w:t>на 2018 год.</w:t>
      </w:r>
      <w:r w:rsidR="00B32385">
        <w:rPr>
          <w:sz w:val="24"/>
          <w:szCs w:val="24"/>
        </w:rPr>
        <w:t xml:space="preserve"> Сокращено</w:t>
      </w:r>
      <w:r>
        <w:rPr>
          <w:sz w:val="24"/>
          <w:szCs w:val="24"/>
        </w:rPr>
        <w:t xml:space="preserve"> (исключено) полностью </w:t>
      </w:r>
      <w:r w:rsidR="00B32385">
        <w:rPr>
          <w:sz w:val="24"/>
          <w:szCs w:val="24"/>
        </w:rPr>
        <w:t xml:space="preserve"> финансирование по мероприяти</w:t>
      </w:r>
      <w:r>
        <w:rPr>
          <w:sz w:val="24"/>
          <w:szCs w:val="24"/>
        </w:rPr>
        <w:t>ям</w:t>
      </w:r>
      <w:r w:rsidR="00B32385">
        <w:rPr>
          <w:sz w:val="24"/>
          <w:szCs w:val="24"/>
        </w:rPr>
        <w:t xml:space="preserve"> «Осушение территории </w:t>
      </w:r>
      <w:proofErr w:type="spellStart"/>
      <w:r w:rsidR="00B32385">
        <w:rPr>
          <w:sz w:val="24"/>
          <w:szCs w:val="24"/>
        </w:rPr>
        <w:t>Тайшетского</w:t>
      </w:r>
      <w:proofErr w:type="spellEnd"/>
      <w:r w:rsidR="00B32385">
        <w:rPr>
          <w:sz w:val="24"/>
          <w:szCs w:val="24"/>
        </w:rPr>
        <w:t xml:space="preserve"> городского поселения» на </w:t>
      </w:r>
      <w:r>
        <w:rPr>
          <w:sz w:val="24"/>
          <w:szCs w:val="24"/>
        </w:rPr>
        <w:t>733,7</w:t>
      </w:r>
      <w:r w:rsidR="00B3238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«Дератизация, дезинсекция клещей на территории города» на 52,1 тыс. рублей</w:t>
      </w:r>
      <w:r w:rsidR="00B32385">
        <w:rPr>
          <w:sz w:val="24"/>
          <w:szCs w:val="24"/>
        </w:rPr>
        <w:t xml:space="preserve">. Указанные средства </w:t>
      </w:r>
      <w:r w:rsidR="00B32385">
        <w:rPr>
          <w:sz w:val="24"/>
          <w:szCs w:val="24"/>
        </w:rPr>
        <w:lastRenderedPageBreak/>
        <w:t>направлены на мероприяти</w:t>
      </w:r>
      <w:r>
        <w:rPr>
          <w:sz w:val="24"/>
          <w:szCs w:val="24"/>
        </w:rPr>
        <w:t>я других муниципальных программ.</w:t>
      </w:r>
      <w:r w:rsidR="00B323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Увеличено финансирование на мероприятие «Отлов и вывоз бродячих животных» на 40,0 тыс. рублей и составило 140,0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 xml:space="preserve">- Оплата за уличное освещение, текущее содержание и обслуживание наружных сетей уличного освещения территории поселения,  всего в 2018- 2020 годах –10109,7 тыс. руб., в том числе по годам: в 2018г. – 3230,2 тыс. руб., в 2019г. – 3369,0 тыс. руб., в 2020 году – 3510,5 тыс. руб. (КБК: 951 0503 8100001130 244); 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Приобретение семян и рассады цветов, всего в 2018- 2020 годах –815,3 тыс. руб., в том числе по годам: в 2018г. – 260,5 тыс. руб., в 2019 г. – 271,7 тыс. руб., в 2020 году – 283,1 тыс. руб. (КБК: 951 0503 8100001130 611);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 xml:space="preserve">- Спиливание ветхих и аварийных деревьев с территории общего пользования, всего в 2018- 2020 годах – </w:t>
      </w:r>
      <w:r w:rsidR="00AA258C">
        <w:rPr>
          <w:sz w:val="24"/>
          <w:szCs w:val="24"/>
        </w:rPr>
        <w:t>1015,4</w:t>
      </w:r>
      <w:r w:rsidRPr="00B32385">
        <w:rPr>
          <w:sz w:val="24"/>
          <w:szCs w:val="24"/>
        </w:rPr>
        <w:t xml:space="preserve"> тыс. руб., в том числе по годам: в 2018г. – 460,6 тыс. руб., в 2019г. – 271,7 тыс. руб., в 2020 году – 283,1 тыс. руб. (КБК: 951 0503 8100001130 244</w:t>
      </w:r>
      <w:r w:rsidR="000125F0">
        <w:rPr>
          <w:sz w:val="24"/>
          <w:szCs w:val="24"/>
        </w:rPr>
        <w:t>,611</w:t>
      </w:r>
      <w:r w:rsidRPr="00B32385">
        <w:rPr>
          <w:sz w:val="24"/>
          <w:szCs w:val="24"/>
        </w:rPr>
        <w:t>);</w:t>
      </w:r>
      <w:r w:rsidRPr="00B32385">
        <w:rPr>
          <w:sz w:val="24"/>
          <w:szCs w:val="24"/>
        </w:rPr>
        <w:tab/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Выкос травы на территории города, всего в 2018- 2020 годах –1630,4 тыс. руб., в том числе по годам: в 2018г. – 521,0 тыс. руб., в 2019 г. – 543,4 тыс. руб., в 2020 году – 566,0 тыс. руб. (КБК: 951 0503  8100001130 611);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proofErr w:type="gramStart"/>
      <w:r w:rsidRPr="00B32385">
        <w:rPr>
          <w:sz w:val="24"/>
          <w:szCs w:val="24"/>
        </w:rPr>
        <w:t>- Уборка и вывоз мусора с кладбищ; расчистка дорог от снега в зимний период; ремонт автомобильных дорог в летний период, всего в 2018- 2020 годах –2934,8 тыс. руб., в том числе по годам: в 2018 г. – 937,8 тыс. руб., в 2019г. – 978,0 тыс. руб., в 2020 году – 1019,0 тыс. руб. (КБК: 951 0503  8100001130 611);</w:t>
      </w:r>
      <w:proofErr w:type="gramEnd"/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Дератизация, дезинсекция клещей на территории города, всего в 2018- 2020 годах –</w:t>
      </w:r>
      <w:r w:rsidR="00AA258C">
        <w:rPr>
          <w:sz w:val="24"/>
          <w:szCs w:val="24"/>
        </w:rPr>
        <w:t>110,8</w:t>
      </w:r>
      <w:r w:rsidRPr="00B32385">
        <w:rPr>
          <w:sz w:val="24"/>
          <w:szCs w:val="24"/>
        </w:rPr>
        <w:t xml:space="preserve"> тыс. руб., в том числе по годам: в 2018 г. – </w:t>
      </w:r>
      <w:r w:rsidR="00AA258C">
        <w:rPr>
          <w:sz w:val="24"/>
          <w:szCs w:val="24"/>
        </w:rPr>
        <w:t>0,0</w:t>
      </w:r>
      <w:r w:rsidRPr="00B32385">
        <w:rPr>
          <w:sz w:val="24"/>
          <w:szCs w:val="24"/>
        </w:rPr>
        <w:t xml:space="preserve"> тыс. руб., в 2019г. – 54,3 тыс. руб., в 2020 году – 56,5 тыс. руб. (КБК: 951 0503 8100001130 244);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Приобретение и установка детских игровых площадок, всего в 2018- 2020 годах –3259,6 тыс. руб., в том числе по годам: в 2018 г. – 1042,0 тыс. руб., в 2019г. – 1086,0 тыс. руб., в 2020 году – 1131,6 тыс. руб. (КБК: 951 0503 8100001130 244);</w:t>
      </w:r>
      <w:r w:rsidRPr="00B32385">
        <w:rPr>
          <w:sz w:val="24"/>
          <w:szCs w:val="24"/>
        </w:rPr>
        <w:tab/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Ликвидация несанкционированных свалок; уборка и вывоз мусора с мест общего пользования; содержание мест массового отдыха, всего в 2018- 2020 годах –5217,2 тыс. руб., в том числе по годам: в 2018 г. – 1667,0 тыс. руб., в 2019г. – 1738,6 тыс. руб., в 2020 году – 1811,6 тыс. руб. (КБК: 951 0503 8100001130 611);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 xml:space="preserve">- Содержание и ремонт имущества, находящегося в местах общего пользования, всего в 2018- 2020 годах –312,8 тыс. руб., в том числе по годам: в 2018 г. – 100,0 тыс. руб., в 2019г. – 104,2 тыс. руб., в 2020 году – 108,6 тыс. руб. (КБК: 951 0503 8100001130 611).  По указанному мероприятию изменился только вид расходов. Работы будут выполняться  МБУ «Городское хозяйство» </w:t>
      </w:r>
      <w:proofErr w:type="gramStart"/>
      <w:r w:rsidRPr="00B32385">
        <w:rPr>
          <w:sz w:val="24"/>
          <w:szCs w:val="24"/>
        </w:rPr>
        <w:t>согласно</w:t>
      </w:r>
      <w:proofErr w:type="gramEnd"/>
      <w:r w:rsidRPr="00B32385">
        <w:rPr>
          <w:sz w:val="24"/>
          <w:szCs w:val="24"/>
        </w:rPr>
        <w:t xml:space="preserve"> муниципального задания.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Уборка бытовых отходов и иных отходов жизнедеятельности человека в городских лесах, вдоль автодорог, всего в 2018- 2020 годах –1630,6 тыс. руб., в том числе по годам: в 2018 г. – 521,0 тыс. руб., в 2019г. – 543,4 тыс. руб., в 2020 году – 566,2 тыс. руб. (КБК: 951 0407  8100001130 611);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proofErr w:type="gramStart"/>
      <w:r w:rsidRPr="00B32385">
        <w:rPr>
          <w:sz w:val="24"/>
          <w:szCs w:val="24"/>
        </w:rPr>
        <w:t>- 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т.д.), всего в 2018- 2020 годах –100,0 тыс. руб., в том числе  в 2020 году – 100,0 тыс. руб. (КБК: 951 0503 8100001130 244);</w:t>
      </w:r>
      <w:proofErr w:type="gramEnd"/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 xml:space="preserve">- Осушение территории </w:t>
      </w:r>
      <w:proofErr w:type="spellStart"/>
      <w:r w:rsidRPr="00B32385">
        <w:rPr>
          <w:sz w:val="24"/>
          <w:szCs w:val="24"/>
        </w:rPr>
        <w:t>Тайшетского</w:t>
      </w:r>
      <w:proofErr w:type="spellEnd"/>
      <w:r w:rsidRPr="00B32385">
        <w:rPr>
          <w:sz w:val="24"/>
          <w:szCs w:val="24"/>
        </w:rPr>
        <w:t xml:space="preserve"> городского поселения, всего в 2018- 2020 годах –</w:t>
      </w:r>
      <w:r w:rsidR="00AA258C">
        <w:rPr>
          <w:sz w:val="24"/>
          <w:szCs w:val="24"/>
        </w:rPr>
        <w:t>2217,6</w:t>
      </w:r>
      <w:r w:rsidRPr="00B32385">
        <w:rPr>
          <w:sz w:val="24"/>
          <w:szCs w:val="24"/>
        </w:rPr>
        <w:t xml:space="preserve"> тыс. руб., в том числе по годам: в 2018 г. – </w:t>
      </w:r>
      <w:r w:rsidR="00AA258C">
        <w:rPr>
          <w:sz w:val="24"/>
          <w:szCs w:val="24"/>
        </w:rPr>
        <w:t>0,0</w:t>
      </w:r>
      <w:r w:rsidRPr="00B32385">
        <w:rPr>
          <w:sz w:val="24"/>
          <w:szCs w:val="24"/>
        </w:rPr>
        <w:t xml:space="preserve"> тыс. руб., в 2019г. – 1086,0 тыс. руб., в 2020 году – 1131,6 тыс. руб. (КБК: 951 0503 8100001130 244);</w:t>
      </w:r>
    </w:p>
    <w:p w:rsidR="00B32385" w:rsidRP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lastRenderedPageBreak/>
        <w:t>- Поощрение победителей конкурса на звание «Территория образцового содержания», всего в 2018- 2020 годах –150,0 тыс. руб., в том числе по годам: в 2018 г. – 50,0 тыс. руб., в 2019г. – 50,0 тыс. руб., в 2020 году – 50,0 тыс. руб. (КБК: 951 0503 8100001130 360);</w:t>
      </w:r>
    </w:p>
    <w:p w:rsidR="00B32385" w:rsidRDefault="00B32385" w:rsidP="00B32385">
      <w:pPr>
        <w:ind w:firstLine="708"/>
        <w:jc w:val="both"/>
        <w:rPr>
          <w:sz w:val="24"/>
          <w:szCs w:val="24"/>
        </w:rPr>
      </w:pPr>
      <w:r w:rsidRPr="00B32385">
        <w:rPr>
          <w:sz w:val="24"/>
          <w:szCs w:val="24"/>
        </w:rPr>
        <w:t>- Отлов и вывоз бродячих животных, всего в 2018- 2020 годах –3</w:t>
      </w:r>
      <w:r w:rsidR="00AA258C">
        <w:rPr>
          <w:sz w:val="24"/>
          <w:szCs w:val="24"/>
        </w:rPr>
        <w:t>5</w:t>
      </w:r>
      <w:r w:rsidRPr="00B32385">
        <w:rPr>
          <w:sz w:val="24"/>
          <w:szCs w:val="24"/>
        </w:rPr>
        <w:t>2,8 тыс. руб., в том числе по годам: в 2018 г. – 1</w:t>
      </w:r>
      <w:r w:rsidR="00AA258C">
        <w:rPr>
          <w:sz w:val="24"/>
          <w:szCs w:val="24"/>
        </w:rPr>
        <w:t>4</w:t>
      </w:r>
      <w:r w:rsidRPr="00B32385">
        <w:rPr>
          <w:sz w:val="24"/>
          <w:szCs w:val="24"/>
        </w:rPr>
        <w:t>0,0 тыс. руб., в 2019г. – 104,2 тыс. руб., в 2020 году – 108,6 тыс. руб. (КБК: 951 0503 8100001130 244);</w:t>
      </w:r>
    </w:p>
    <w:p w:rsidR="00B32385" w:rsidRDefault="00B32385" w:rsidP="00B323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Благоустройство 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2018 год – 308,3 тыс. рублей </w:t>
      </w:r>
      <w:r w:rsidR="002E253B" w:rsidRPr="002E253B">
        <w:rPr>
          <w:sz w:val="24"/>
          <w:szCs w:val="24"/>
        </w:rPr>
        <w:t>(КБК: 951 0503 8100001130 244)</w:t>
      </w:r>
      <w:r w:rsidR="002E253B">
        <w:rPr>
          <w:sz w:val="24"/>
          <w:szCs w:val="24"/>
        </w:rPr>
        <w:t>.</w:t>
      </w:r>
    </w:p>
    <w:p w:rsidR="00B32385" w:rsidRDefault="00B32385" w:rsidP="00B32385">
      <w:pPr>
        <w:ind w:firstLine="708"/>
        <w:jc w:val="both"/>
        <w:rPr>
          <w:sz w:val="24"/>
          <w:szCs w:val="24"/>
        </w:rPr>
      </w:pPr>
    </w:p>
    <w:p w:rsidR="004A2C8F" w:rsidRDefault="00B649CE" w:rsidP="00B323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 объемов финансирования Программы  </w:t>
      </w:r>
      <w:r w:rsidR="003A0FFB">
        <w:rPr>
          <w:sz w:val="24"/>
          <w:szCs w:val="24"/>
        </w:rPr>
        <w:t>документы на экспертизу не представлены.</w:t>
      </w: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2304A0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составлен без указания </w:t>
      </w:r>
      <w:r w:rsidR="005E5BDE">
        <w:rPr>
          <w:sz w:val="24"/>
          <w:szCs w:val="24"/>
        </w:rPr>
        <w:t xml:space="preserve">перечня планируемых работ, </w:t>
      </w:r>
      <w:r w:rsidR="00E61028">
        <w:rPr>
          <w:sz w:val="24"/>
          <w:szCs w:val="24"/>
        </w:rPr>
        <w:t xml:space="preserve"> местоположения, адреса.</w:t>
      </w:r>
      <w:r w:rsidR="005E5BDE"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 xml:space="preserve"> Кроме того, не указаны суммы  финансирования по каждой планируемой работе, а только в разрезе мероприятий.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Pr="005F154B">
        <w:rPr>
          <w:sz w:val="24"/>
          <w:szCs w:val="24"/>
        </w:rPr>
        <w:t>:</w:t>
      </w:r>
    </w:p>
    <w:p w:rsidR="00216FE3" w:rsidRDefault="00216FE3" w:rsidP="005F154B">
      <w:pPr>
        <w:ind w:firstLine="540"/>
        <w:jc w:val="both"/>
        <w:rPr>
          <w:sz w:val="24"/>
          <w:szCs w:val="24"/>
        </w:rPr>
      </w:pPr>
    </w:p>
    <w:p w:rsidR="00782BB2" w:rsidRDefault="00D143B8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>предложения</w:t>
      </w:r>
      <w:r w:rsidR="003A0FFB">
        <w:rPr>
          <w:sz w:val="24"/>
          <w:szCs w:val="24"/>
        </w:rPr>
        <w:t>,</w:t>
      </w:r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6F48DB" w:rsidRPr="006F48DB">
        <w:rPr>
          <w:sz w:val="24"/>
          <w:szCs w:val="24"/>
        </w:rPr>
        <w:t xml:space="preserve">«О внесении изменений в  муниципальную целевую программу «Благоустройство территории </w:t>
      </w:r>
      <w:proofErr w:type="spellStart"/>
      <w:r w:rsidR="006F48DB" w:rsidRPr="006F48DB">
        <w:rPr>
          <w:sz w:val="24"/>
          <w:szCs w:val="24"/>
        </w:rPr>
        <w:t>Тайшетского</w:t>
      </w:r>
      <w:proofErr w:type="spellEnd"/>
      <w:r w:rsidR="006F48DB" w:rsidRPr="006F48DB">
        <w:rPr>
          <w:sz w:val="24"/>
          <w:szCs w:val="24"/>
        </w:rPr>
        <w:t xml:space="preserve"> городского поселения  на  2018-2020 годы»</w:t>
      </w:r>
      <w:r w:rsidR="00D3612B">
        <w:rPr>
          <w:sz w:val="24"/>
          <w:szCs w:val="24"/>
        </w:rPr>
        <w:t xml:space="preserve"> 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B31B2D" w:rsidRDefault="00D143B8" w:rsidP="00B3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1B2D" w:rsidRPr="00B31B2D">
        <w:rPr>
          <w:sz w:val="24"/>
          <w:szCs w:val="24"/>
        </w:rPr>
        <w:t>Проект постановления адм</w:t>
      </w:r>
      <w:bookmarkStart w:id="0" w:name="_GoBack"/>
      <w:bookmarkEnd w:id="0"/>
      <w:r w:rsidR="00B31B2D" w:rsidRPr="00B31B2D">
        <w:rPr>
          <w:sz w:val="24"/>
          <w:szCs w:val="24"/>
        </w:rPr>
        <w:t xml:space="preserve">инистрации </w:t>
      </w:r>
      <w:proofErr w:type="spellStart"/>
      <w:r w:rsidR="00B31B2D" w:rsidRPr="00B31B2D">
        <w:rPr>
          <w:sz w:val="24"/>
          <w:szCs w:val="24"/>
        </w:rPr>
        <w:t>Тайшетского</w:t>
      </w:r>
      <w:proofErr w:type="spellEnd"/>
      <w:r w:rsidR="00B31B2D" w:rsidRPr="00B31B2D">
        <w:rPr>
          <w:sz w:val="24"/>
          <w:szCs w:val="24"/>
        </w:rPr>
        <w:t xml:space="preserve"> городского поселения «О внесении изменений в  муниципальную целевую программу «Благоустройство территории </w:t>
      </w:r>
      <w:proofErr w:type="spellStart"/>
      <w:r w:rsidR="00B31B2D" w:rsidRPr="00B31B2D">
        <w:rPr>
          <w:sz w:val="24"/>
          <w:szCs w:val="24"/>
        </w:rPr>
        <w:t>Тайшетского</w:t>
      </w:r>
      <w:proofErr w:type="spellEnd"/>
      <w:r w:rsidR="00B31B2D" w:rsidRPr="00B31B2D">
        <w:rPr>
          <w:sz w:val="24"/>
          <w:szCs w:val="24"/>
        </w:rPr>
        <w:t xml:space="preserve"> городского поселения  на  2018-2020 годы»</w:t>
      </w:r>
      <w:r w:rsidR="00B31B2D">
        <w:rPr>
          <w:sz w:val="24"/>
          <w:szCs w:val="24"/>
        </w:rPr>
        <w:t xml:space="preserve"> </w:t>
      </w:r>
      <w:r w:rsidR="00B31B2D" w:rsidRPr="00B31B2D">
        <w:rPr>
          <w:sz w:val="24"/>
          <w:szCs w:val="24"/>
        </w:rPr>
        <w:t xml:space="preserve">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B31B2D" w:rsidRDefault="00B31B2D" w:rsidP="00B31B2D">
      <w:pPr>
        <w:ind w:firstLine="540"/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50640A" w:rsidRDefault="0050640A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125F0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62CB1"/>
    <w:rsid w:val="001759FC"/>
    <w:rsid w:val="001801A7"/>
    <w:rsid w:val="001A0564"/>
    <w:rsid w:val="001E79DF"/>
    <w:rsid w:val="00201C7C"/>
    <w:rsid w:val="00216FE3"/>
    <w:rsid w:val="002304A0"/>
    <w:rsid w:val="00244C38"/>
    <w:rsid w:val="0027405F"/>
    <w:rsid w:val="002839AD"/>
    <w:rsid w:val="002A2E18"/>
    <w:rsid w:val="002E253B"/>
    <w:rsid w:val="003051F8"/>
    <w:rsid w:val="003340F0"/>
    <w:rsid w:val="003567C6"/>
    <w:rsid w:val="0036210F"/>
    <w:rsid w:val="0038053B"/>
    <w:rsid w:val="00382919"/>
    <w:rsid w:val="003935F9"/>
    <w:rsid w:val="003A0FFB"/>
    <w:rsid w:val="003B385E"/>
    <w:rsid w:val="003D0706"/>
    <w:rsid w:val="003D78F0"/>
    <w:rsid w:val="00424936"/>
    <w:rsid w:val="00425966"/>
    <w:rsid w:val="00454467"/>
    <w:rsid w:val="00466441"/>
    <w:rsid w:val="0047448C"/>
    <w:rsid w:val="00476AB0"/>
    <w:rsid w:val="00493C04"/>
    <w:rsid w:val="004A0C3C"/>
    <w:rsid w:val="004A2C8F"/>
    <w:rsid w:val="004B1D1C"/>
    <w:rsid w:val="004C405B"/>
    <w:rsid w:val="004E5C4F"/>
    <w:rsid w:val="0050640A"/>
    <w:rsid w:val="00545309"/>
    <w:rsid w:val="005655D2"/>
    <w:rsid w:val="00580796"/>
    <w:rsid w:val="00581C05"/>
    <w:rsid w:val="005869E4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C2A63"/>
    <w:rsid w:val="006E1B6E"/>
    <w:rsid w:val="006F48DB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E4789"/>
    <w:rsid w:val="0082060B"/>
    <w:rsid w:val="00846495"/>
    <w:rsid w:val="00861F74"/>
    <w:rsid w:val="008B6571"/>
    <w:rsid w:val="008C1958"/>
    <w:rsid w:val="008C44AC"/>
    <w:rsid w:val="008F730E"/>
    <w:rsid w:val="00911DF2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75166"/>
    <w:rsid w:val="00AA15A6"/>
    <w:rsid w:val="00AA258C"/>
    <w:rsid w:val="00AA5F76"/>
    <w:rsid w:val="00AC2BD4"/>
    <w:rsid w:val="00AD1E2E"/>
    <w:rsid w:val="00AF193F"/>
    <w:rsid w:val="00AF21C3"/>
    <w:rsid w:val="00B17AEF"/>
    <w:rsid w:val="00B31B2D"/>
    <w:rsid w:val="00B32385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21250"/>
    <w:rsid w:val="00D22ED2"/>
    <w:rsid w:val="00D266C2"/>
    <w:rsid w:val="00D3612B"/>
    <w:rsid w:val="00D45A03"/>
    <w:rsid w:val="00D46FD5"/>
    <w:rsid w:val="00D57786"/>
    <w:rsid w:val="00D81542"/>
    <w:rsid w:val="00E03AA4"/>
    <w:rsid w:val="00E61028"/>
    <w:rsid w:val="00EA2E0B"/>
    <w:rsid w:val="00EA35B5"/>
    <w:rsid w:val="00EA5A53"/>
    <w:rsid w:val="00EF64AD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363C-155F-4F81-8F74-43A0E4E7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93</cp:revision>
  <cp:lastPrinted>2017-10-27T00:45:00Z</cp:lastPrinted>
  <dcterms:created xsi:type="dcterms:W3CDTF">2015-09-15T23:49:00Z</dcterms:created>
  <dcterms:modified xsi:type="dcterms:W3CDTF">2018-10-23T00:10:00Z</dcterms:modified>
</cp:coreProperties>
</file>