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516CD4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3F4">
        <w:rPr>
          <w:sz w:val="24"/>
          <w:szCs w:val="24"/>
        </w:rPr>
        <w:t>7 октября</w:t>
      </w:r>
      <w:r w:rsidRPr="00FC56A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>
        <w:rPr>
          <w:b/>
          <w:sz w:val="24"/>
          <w:szCs w:val="24"/>
        </w:rPr>
        <w:t>2</w:t>
      </w:r>
      <w:r w:rsidR="005A23F4">
        <w:rPr>
          <w:b/>
          <w:sz w:val="24"/>
          <w:szCs w:val="24"/>
        </w:rPr>
        <w:t>7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</w:t>
      </w:r>
      <w:r w:rsidRPr="00FC56AC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2021 и 2022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2021 и 2022 годов</w:t>
      </w:r>
      <w:r w:rsidRPr="00D1767F">
        <w:rPr>
          <w:sz w:val="24"/>
          <w:szCs w:val="24"/>
        </w:rPr>
        <w:t xml:space="preserve">» от 20.12.2019 г. №130-ОЗ,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28.11.2019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</w:t>
      </w:r>
      <w:r>
        <w:rPr>
          <w:sz w:val="24"/>
          <w:szCs w:val="24"/>
        </w:rPr>
        <w:t xml:space="preserve">овый период 2021 и 2022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8E1978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8E1978">
        <w:rPr>
          <w:sz w:val="24"/>
          <w:szCs w:val="24"/>
        </w:rPr>
        <w:t>9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8E1978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внесении изменений в решение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28.11.2019 г. №131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2021 и 2022 годов</w:t>
      </w:r>
      <w:r w:rsidRPr="00FC56AC">
        <w:rPr>
          <w:sz w:val="24"/>
          <w:szCs w:val="24"/>
        </w:rPr>
        <w:t>».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147C85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</w:t>
      </w:r>
      <w:r w:rsidRPr="00147C85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 xml:space="preserve">1, </w:t>
      </w:r>
      <w:r w:rsidRPr="00FC56AC">
        <w:rPr>
          <w:sz w:val="24"/>
          <w:szCs w:val="24"/>
        </w:rPr>
        <w:t>5,</w:t>
      </w:r>
      <w:r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="000E6658">
        <w:rPr>
          <w:sz w:val="24"/>
          <w:szCs w:val="24"/>
        </w:rPr>
        <w:t xml:space="preserve"> 8,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11, 13, 15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>
        <w:rPr>
          <w:sz w:val="24"/>
          <w:szCs w:val="24"/>
        </w:rPr>
        <w:t>2</w:t>
      </w:r>
      <w:r w:rsidR="008E1978">
        <w:rPr>
          <w:sz w:val="24"/>
          <w:szCs w:val="24"/>
        </w:rPr>
        <w:t>2 октября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 xml:space="preserve">на 2020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  </w:t>
      </w:r>
      <w:r w:rsidRPr="008C4EB8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21</w:t>
      </w:r>
      <w:r w:rsidRPr="008C4EB8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 232412,3 </w:t>
      </w:r>
      <w:r>
        <w:rPr>
          <w:sz w:val="24"/>
          <w:szCs w:val="24"/>
        </w:rPr>
        <w:t xml:space="preserve">тыс. рублей, что выше ранее утвержденного показателя на </w:t>
      </w:r>
      <w:r w:rsidR="008E1978">
        <w:rPr>
          <w:sz w:val="24"/>
          <w:szCs w:val="24"/>
        </w:rPr>
        <w:t>2420,1</w:t>
      </w:r>
      <w:r>
        <w:rPr>
          <w:sz w:val="24"/>
          <w:szCs w:val="24"/>
        </w:rPr>
        <w:t xml:space="preserve"> тыс. рублей,  или на  </w:t>
      </w:r>
      <w:r w:rsidR="008E1978">
        <w:rPr>
          <w:sz w:val="24"/>
          <w:szCs w:val="24"/>
        </w:rPr>
        <w:t>1</w:t>
      </w:r>
      <w:r>
        <w:rPr>
          <w:sz w:val="24"/>
          <w:szCs w:val="24"/>
        </w:rPr>
        <w:t>,0%.;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2515</w:t>
      </w:r>
      <w:r w:rsidR="009D6772">
        <w:rPr>
          <w:sz w:val="24"/>
          <w:szCs w:val="24"/>
        </w:rPr>
        <w:t>62</w:t>
      </w:r>
      <w:r w:rsidR="008E1978">
        <w:rPr>
          <w:sz w:val="24"/>
          <w:szCs w:val="24"/>
        </w:rPr>
        <w:t>,6</w:t>
      </w:r>
      <w:r>
        <w:rPr>
          <w:sz w:val="24"/>
          <w:szCs w:val="24"/>
        </w:rPr>
        <w:t xml:space="preserve"> 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EB0C98">
        <w:rPr>
          <w:sz w:val="24"/>
          <w:szCs w:val="24"/>
        </w:rPr>
        <w:t>2046,3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8E1978">
        <w:rPr>
          <w:sz w:val="24"/>
          <w:szCs w:val="24"/>
        </w:rPr>
        <w:t>0</w:t>
      </w:r>
      <w:r>
        <w:rPr>
          <w:sz w:val="24"/>
          <w:szCs w:val="24"/>
        </w:rPr>
        <w:t>,8%</w:t>
      </w:r>
      <w:r w:rsidRPr="00FC56AC">
        <w:rPr>
          <w:sz w:val="24"/>
          <w:szCs w:val="24"/>
        </w:rPr>
        <w:t>;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>
        <w:rPr>
          <w:sz w:val="24"/>
          <w:szCs w:val="24"/>
        </w:rPr>
        <w:t xml:space="preserve"> </w:t>
      </w:r>
      <w:r w:rsidR="007B1B1C">
        <w:rPr>
          <w:sz w:val="24"/>
          <w:szCs w:val="24"/>
        </w:rPr>
        <w:t>уменьшится</w:t>
      </w:r>
      <w:r>
        <w:rPr>
          <w:sz w:val="24"/>
          <w:szCs w:val="24"/>
        </w:rPr>
        <w:t xml:space="preserve"> на </w:t>
      </w:r>
      <w:r w:rsidR="007B1B1C">
        <w:rPr>
          <w:sz w:val="24"/>
          <w:szCs w:val="24"/>
        </w:rPr>
        <w:t>373,8</w:t>
      </w:r>
      <w:r>
        <w:rPr>
          <w:sz w:val="24"/>
          <w:szCs w:val="24"/>
        </w:rPr>
        <w:t xml:space="preserve"> тыс. рублей и составит </w:t>
      </w:r>
      <w:r w:rsidR="007B1B1C">
        <w:rPr>
          <w:sz w:val="24"/>
          <w:szCs w:val="24"/>
        </w:rPr>
        <w:t>19150,3</w:t>
      </w:r>
      <w:r>
        <w:rPr>
          <w:sz w:val="24"/>
          <w:szCs w:val="24"/>
        </w:rPr>
        <w:t xml:space="preserve"> тыс. руб.</w:t>
      </w:r>
      <w:r w:rsidRPr="00FC56AC">
        <w:rPr>
          <w:sz w:val="24"/>
          <w:szCs w:val="24"/>
        </w:rPr>
        <w:t xml:space="preserve">  Размер дефицита  бюджета установлен в соответствии с п.3 ст.92.1 Бюджетного Кодекса РФ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7B1B1C">
        <w:rPr>
          <w:sz w:val="24"/>
          <w:szCs w:val="24"/>
        </w:rPr>
        <w:t>12,7</w:t>
      </w:r>
      <w:r w:rsidRPr="00FC56AC">
        <w:rPr>
          <w:sz w:val="24"/>
          <w:szCs w:val="24"/>
        </w:rPr>
        <w:t>% объема</w:t>
      </w:r>
      <w:r>
        <w:rPr>
          <w:sz w:val="24"/>
          <w:szCs w:val="24"/>
        </w:rPr>
        <w:t xml:space="preserve"> собственных</w:t>
      </w:r>
      <w:r w:rsidRPr="00FC56AC">
        <w:rPr>
          <w:sz w:val="24"/>
          <w:szCs w:val="24"/>
        </w:rPr>
        <w:t xml:space="preserve">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>
        <w:rPr>
          <w:sz w:val="24"/>
          <w:szCs w:val="24"/>
        </w:rPr>
        <w:t xml:space="preserve">20 </w:t>
      </w:r>
      <w:r w:rsidRPr="00FC56AC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в сумме </w:t>
      </w:r>
      <w:r w:rsidRPr="00060345">
        <w:rPr>
          <w:sz w:val="24"/>
          <w:szCs w:val="24"/>
        </w:rPr>
        <w:t>1337</w:t>
      </w:r>
      <w:r>
        <w:rPr>
          <w:sz w:val="24"/>
          <w:szCs w:val="24"/>
        </w:rPr>
        <w:t>7,0</w:t>
      </w:r>
      <w:r w:rsidRPr="00060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рублей;  кредиты кредитных организаций  РФ </w:t>
      </w:r>
      <w:r w:rsidR="00D17E76">
        <w:rPr>
          <w:sz w:val="24"/>
          <w:szCs w:val="24"/>
        </w:rPr>
        <w:t>- 3621,5</w:t>
      </w:r>
      <w:r>
        <w:rPr>
          <w:sz w:val="24"/>
          <w:szCs w:val="24"/>
        </w:rPr>
        <w:t xml:space="preserve"> тыс. рублей; бюджетные кредиты, получаемые от других бюджетов – 2151,</w:t>
      </w:r>
      <w:r w:rsidR="00D17E76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рублей.</w:t>
      </w:r>
    </w:p>
    <w:p w:rsidR="00766948" w:rsidRDefault="00766948" w:rsidP="00516CD4">
      <w:pPr>
        <w:ind w:firstLine="708"/>
        <w:jc w:val="both"/>
        <w:rPr>
          <w:sz w:val="24"/>
          <w:szCs w:val="24"/>
        </w:rPr>
      </w:pPr>
    </w:p>
    <w:p w:rsidR="00766948" w:rsidRP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>В соответствии со статьей 92.1 БК РФ размер дефицита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местного бюджета не должен превышать 10% объема доходов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местного бюджета без учета утвержденного объема безвозмездных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поступлений из других бюджетов бюджетной системы РФ.</w:t>
      </w:r>
    </w:p>
    <w:p w:rsidR="00766948" w:rsidRP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>Проектом решения дефицит бюджета предусматривается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12,7</w:t>
      </w:r>
      <w:r w:rsidRPr="00766948">
        <w:rPr>
          <w:sz w:val="24"/>
          <w:szCs w:val="24"/>
        </w:rPr>
        <w:t xml:space="preserve"> % от доходов бюджета</w:t>
      </w:r>
      <w:r>
        <w:rPr>
          <w:sz w:val="24"/>
          <w:szCs w:val="24"/>
        </w:rPr>
        <w:t xml:space="preserve">.  </w:t>
      </w:r>
      <w:proofErr w:type="gramStart"/>
      <w:r w:rsidRPr="00766948">
        <w:rPr>
          <w:sz w:val="24"/>
          <w:szCs w:val="24"/>
        </w:rPr>
        <w:t>Указанной выше статьей БК предусмотрено, что в случае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утверждения муниципальным правовым актом представительного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органа муниципального образования о бюджете в составе источников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финансирования дефицита местного бюджета</w:t>
      </w:r>
      <w:r>
        <w:rPr>
          <w:sz w:val="24"/>
          <w:szCs w:val="24"/>
        </w:rPr>
        <w:t xml:space="preserve">    </w:t>
      </w:r>
      <w:r w:rsidRPr="00766948">
        <w:rPr>
          <w:sz w:val="24"/>
          <w:szCs w:val="24"/>
        </w:rPr>
        <w:t>бюджетн</w:t>
      </w:r>
      <w:r>
        <w:rPr>
          <w:sz w:val="24"/>
          <w:szCs w:val="24"/>
        </w:rPr>
        <w:t>ого</w:t>
      </w:r>
      <w:r w:rsidRPr="00766948">
        <w:rPr>
          <w:sz w:val="24"/>
          <w:szCs w:val="24"/>
        </w:rPr>
        <w:t xml:space="preserve"> кредита, предоставленн</w:t>
      </w:r>
      <w:r>
        <w:rPr>
          <w:sz w:val="24"/>
          <w:szCs w:val="24"/>
        </w:rPr>
        <w:t>ого</w:t>
      </w:r>
      <w:r w:rsidRPr="00766948">
        <w:rPr>
          <w:sz w:val="24"/>
          <w:szCs w:val="24"/>
        </w:rPr>
        <w:t xml:space="preserve"> местному бюджету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другими бюджетами бюджетной системы РФ,  и снижения остатков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средств на счетах по учету средств местного бюджета дефицит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местного бюджета может превышать ограничения, установленные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настоящим пунктом, в пределах сумм указанных источников.</w:t>
      </w:r>
      <w:r>
        <w:rPr>
          <w:sz w:val="24"/>
          <w:szCs w:val="24"/>
        </w:rPr>
        <w:t xml:space="preserve"> </w:t>
      </w:r>
      <w:proofErr w:type="gramEnd"/>
      <w:r w:rsidRPr="00766948">
        <w:rPr>
          <w:sz w:val="24"/>
          <w:szCs w:val="24"/>
        </w:rPr>
        <w:t>Согласно приложению № 1</w:t>
      </w:r>
      <w:r>
        <w:rPr>
          <w:sz w:val="24"/>
          <w:szCs w:val="24"/>
        </w:rPr>
        <w:t>3</w:t>
      </w:r>
      <w:r w:rsidRPr="00766948">
        <w:rPr>
          <w:sz w:val="24"/>
          <w:szCs w:val="24"/>
        </w:rPr>
        <w:t xml:space="preserve"> к решению о бюджете «Источники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 xml:space="preserve">внутреннего финансирования дефицита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766948">
        <w:rPr>
          <w:sz w:val="24"/>
          <w:szCs w:val="24"/>
        </w:rPr>
        <w:t>на 20</w:t>
      </w:r>
      <w:r>
        <w:rPr>
          <w:sz w:val="24"/>
          <w:szCs w:val="24"/>
        </w:rPr>
        <w:t xml:space="preserve">20 </w:t>
      </w:r>
      <w:r w:rsidRPr="00766948">
        <w:rPr>
          <w:sz w:val="24"/>
          <w:szCs w:val="24"/>
        </w:rPr>
        <w:t>год», в соответствии с нормами статьи 96 БК РФ, дефицит в сумме</w:t>
      </w:r>
      <w:r>
        <w:rPr>
          <w:sz w:val="24"/>
          <w:szCs w:val="24"/>
        </w:rPr>
        <w:t xml:space="preserve"> 19150,3</w:t>
      </w:r>
      <w:r w:rsidRPr="00766948">
        <w:rPr>
          <w:sz w:val="24"/>
          <w:szCs w:val="24"/>
        </w:rPr>
        <w:t xml:space="preserve"> </w:t>
      </w:r>
      <w:proofErr w:type="spellStart"/>
      <w:r w:rsidRPr="00766948">
        <w:rPr>
          <w:sz w:val="24"/>
          <w:szCs w:val="24"/>
        </w:rPr>
        <w:t>тыс</w:t>
      </w:r>
      <w:proofErr w:type="gramStart"/>
      <w:r w:rsidRPr="00766948">
        <w:rPr>
          <w:sz w:val="24"/>
          <w:szCs w:val="24"/>
        </w:rPr>
        <w:t>.р</w:t>
      </w:r>
      <w:proofErr w:type="gramEnd"/>
      <w:r w:rsidRPr="00766948">
        <w:rPr>
          <w:sz w:val="24"/>
          <w:szCs w:val="24"/>
        </w:rPr>
        <w:t>уб</w:t>
      </w:r>
      <w:proofErr w:type="spellEnd"/>
      <w:r w:rsidRPr="00766948">
        <w:rPr>
          <w:sz w:val="24"/>
          <w:szCs w:val="24"/>
        </w:rPr>
        <w:t>. предусматривается покрыть за счет:</w:t>
      </w:r>
    </w:p>
    <w:p w:rsidR="00766948" w:rsidRP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 xml:space="preserve">- кредитов от кредитных организаций в сумме </w:t>
      </w:r>
      <w:r>
        <w:rPr>
          <w:sz w:val="24"/>
          <w:szCs w:val="24"/>
        </w:rPr>
        <w:t>3621,5</w:t>
      </w:r>
      <w:r w:rsidRPr="00766948">
        <w:rPr>
          <w:sz w:val="24"/>
          <w:szCs w:val="24"/>
        </w:rPr>
        <w:t xml:space="preserve"> </w:t>
      </w:r>
      <w:proofErr w:type="spellStart"/>
      <w:r w:rsidRPr="00766948">
        <w:rPr>
          <w:sz w:val="24"/>
          <w:szCs w:val="24"/>
        </w:rPr>
        <w:t>тыс</w:t>
      </w:r>
      <w:proofErr w:type="gramStart"/>
      <w:r w:rsidRPr="00766948">
        <w:rPr>
          <w:sz w:val="24"/>
          <w:szCs w:val="24"/>
        </w:rPr>
        <w:t>.р</w:t>
      </w:r>
      <w:proofErr w:type="gramEnd"/>
      <w:r w:rsidRPr="00766948">
        <w:rPr>
          <w:sz w:val="24"/>
          <w:szCs w:val="24"/>
        </w:rPr>
        <w:t>уб</w:t>
      </w:r>
      <w:proofErr w:type="spellEnd"/>
      <w:r w:rsidRPr="00766948">
        <w:rPr>
          <w:sz w:val="24"/>
          <w:szCs w:val="24"/>
        </w:rPr>
        <w:t>.;</w:t>
      </w:r>
    </w:p>
    <w:p w:rsid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>- изменения остатков средств на счетах по учету средств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 xml:space="preserve">бюджета в сумме </w:t>
      </w:r>
      <w:r>
        <w:rPr>
          <w:sz w:val="24"/>
          <w:szCs w:val="24"/>
        </w:rPr>
        <w:t>13377,0</w:t>
      </w:r>
      <w:r w:rsidRPr="00766948">
        <w:rPr>
          <w:sz w:val="24"/>
          <w:szCs w:val="24"/>
        </w:rPr>
        <w:t xml:space="preserve"> </w:t>
      </w:r>
      <w:proofErr w:type="spellStart"/>
      <w:r w:rsidRPr="00766948">
        <w:rPr>
          <w:sz w:val="24"/>
          <w:szCs w:val="24"/>
        </w:rPr>
        <w:t>тыс</w:t>
      </w:r>
      <w:proofErr w:type="gramStart"/>
      <w:r w:rsidRPr="00766948">
        <w:rPr>
          <w:sz w:val="24"/>
          <w:szCs w:val="24"/>
        </w:rPr>
        <w:t>.р</w:t>
      </w:r>
      <w:proofErr w:type="gramEnd"/>
      <w:r w:rsidRPr="00766948">
        <w:rPr>
          <w:sz w:val="24"/>
          <w:szCs w:val="24"/>
        </w:rPr>
        <w:t>уб</w:t>
      </w:r>
      <w:proofErr w:type="spellEnd"/>
      <w:r w:rsidRPr="00766948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766948" w:rsidRPr="00766948" w:rsidRDefault="00766948" w:rsidP="007669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бюджетного кредита, полученного от других бюджетов бюджетной системы (Минфин Иркутской области).</w:t>
      </w:r>
    </w:p>
    <w:p w:rsidR="00766948" w:rsidRP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lastRenderedPageBreak/>
        <w:t>Из вышеизложенного следует, что объем указанных источников: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 xml:space="preserve">кредиты, изменения остатков средств в сумме </w:t>
      </w:r>
      <w:r>
        <w:rPr>
          <w:sz w:val="24"/>
          <w:szCs w:val="24"/>
        </w:rPr>
        <w:t>13377,0</w:t>
      </w:r>
      <w:r w:rsidRPr="00766948">
        <w:rPr>
          <w:sz w:val="24"/>
          <w:szCs w:val="24"/>
        </w:rPr>
        <w:t xml:space="preserve"> </w:t>
      </w:r>
      <w:proofErr w:type="spellStart"/>
      <w:r w:rsidRPr="00766948">
        <w:rPr>
          <w:sz w:val="24"/>
          <w:szCs w:val="24"/>
        </w:rPr>
        <w:t>тыс</w:t>
      </w:r>
      <w:proofErr w:type="gramStart"/>
      <w:r w:rsidRPr="00766948">
        <w:rPr>
          <w:sz w:val="24"/>
          <w:szCs w:val="24"/>
        </w:rPr>
        <w:t>.р</w:t>
      </w:r>
      <w:proofErr w:type="gramEnd"/>
      <w:r w:rsidRPr="00766948">
        <w:rPr>
          <w:sz w:val="24"/>
          <w:szCs w:val="24"/>
        </w:rPr>
        <w:t>уб</w:t>
      </w:r>
      <w:proofErr w:type="spellEnd"/>
      <w:r w:rsidRPr="00766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обеспечивает указанное превышение дефицита местного бюджета.</w:t>
      </w:r>
    </w:p>
    <w:p w:rsid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>Таким образом</w:t>
      </w:r>
      <w:r>
        <w:rPr>
          <w:sz w:val="24"/>
          <w:szCs w:val="24"/>
        </w:rPr>
        <w:t>,</w:t>
      </w:r>
      <w:r w:rsidRPr="00766948">
        <w:rPr>
          <w:sz w:val="24"/>
          <w:szCs w:val="24"/>
        </w:rPr>
        <w:t xml:space="preserve"> предусмотренный проектом решения дефицит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бюджета не противоречит нормам статьи 92.1 БК РФ.</w:t>
      </w:r>
      <w:r w:rsidR="00BA714B">
        <w:rPr>
          <w:sz w:val="24"/>
          <w:szCs w:val="24"/>
        </w:rPr>
        <w:t xml:space="preserve"> </w:t>
      </w:r>
    </w:p>
    <w:p w:rsidR="00BA714B" w:rsidRPr="00766948" w:rsidRDefault="00BA714B" w:rsidP="007669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gramStart"/>
      <w:r>
        <w:rPr>
          <w:sz w:val="24"/>
          <w:szCs w:val="24"/>
        </w:rPr>
        <w:t>не поступления</w:t>
      </w:r>
      <w:proofErr w:type="gramEnd"/>
      <w:r>
        <w:rPr>
          <w:sz w:val="24"/>
          <w:szCs w:val="24"/>
        </w:rPr>
        <w:t xml:space="preserve">  в бюджет  дополнительных доходов, дефицит бюдже</w:t>
      </w:r>
      <w:r w:rsidR="008E04F7">
        <w:rPr>
          <w:sz w:val="24"/>
          <w:szCs w:val="24"/>
        </w:rPr>
        <w:t>та по итогам  года  образует  кредиторскую задолженность.</w:t>
      </w:r>
    </w:p>
    <w:p w:rsidR="00766948" w:rsidRDefault="00766948" w:rsidP="00516CD4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2</w:t>
            </w:r>
            <w:r w:rsidR="00D17E76"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18"/>
                <w:szCs w:val="18"/>
              </w:rPr>
              <w:t>.0</w:t>
            </w:r>
            <w:r w:rsidR="00D17E76">
              <w:rPr>
                <w:rFonts w:eastAsia="Times New Roman"/>
                <w:sz w:val="18"/>
                <w:szCs w:val="18"/>
              </w:rPr>
              <w:t>9</w:t>
            </w:r>
            <w:r>
              <w:rPr>
                <w:rFonts w:eastAsia="Times New Roman"/>
                <w:sz w:val="18"/>
                <w:szCs w:val="18"/>
              </w:rPr>
              <w:t xml:space="preserve">.2020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№17</w:t>
            </w:r>
            <w:r w:rsidR="00D17E7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D17E76">
              <w:rPr>
                <w:rFonts w:eastAsia="Times New Roman"/>
                <w:sz w:val="18"/>
                <w:szCs w:val="18"/>
              </w:rPr>
              <w:t>октября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17E76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76" w:rsidRPr="00485AB6" w:rsidRDefault="00D17E76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9B796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229992,2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+2420,1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101,0</w:t>
            </w:r>
          </w:p>
        </w:tc>
      </w:tr>
      <w:tr w:rsidR="00D17E76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76" w:rsidRPr="00485AB6" w:rsidRDefault="00D17E76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9B796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249516,3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251523,6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+2007,3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100,8</w:t>
            </w:r>
          </w:p>
        </w:tc>
      </w:tr>
      <w:tr w:rsidR="00D17E76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76" w:rsidRPr="00485AB6" w:rsidRDefault="00D17E76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9B796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-19524,1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B33EBF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  <w:r w:rsidR="00D17E76">
              <w:rPr>
                <w:rFonts w:eastAsia="Times New Roman"/>
                <w:sz w:val="18"/>
                <w:szCs w:val="18"/>
              </w:rPr>
              <w:t>19150,3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-373,8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E76" w:rsidRPr="00485AB6" w:rsidRDefault="00D17E76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98,08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неналоговых доходов и  безвозмездных поступлений.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увеличиваются  на   сумму </w:t>
      </w:r>
      <w:r w:rsidR="00190AD2">
        <w:rPr>
          <w:sz w:val="24"/>
          <w:szCs w:val="24"/>
        </w:rPr>
        <w:t>1450,8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190AD2">
        <w:rPr>
          <w:sz w:val="24"/>
          <w:szCs w:val="24"/>
        </w:rPr>
        <w:t>150288,2</w:t>
      </w:r>
      <w:r>
        <w:rPr>
          <w:sz w:val="24"/>
          <w:szCs w:val="24"/>
        </w:rPr>
        <w:t xml:space="preserve"> тыс. рублей</w:t>
      </w:r>
      <w:r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190AD2">
        <w:rPr>
          <w:sz w:val="24"/>
          <w:szCs w:val="24"/>
        </w:rPr>
        <w:t>не изменятся</w:t>
      </w:r>
      <w:r w:rsidRPr="00D422D9">
        <w:rPr>
          <w:sz w:val="24"/>
          <w:szCs w:val="24"/>
        </w:rPr>
        <w:t xml:space="preserve">  и </w:t>
      </w:r>
      <w:r w:rsidR="00190AD2">
        <w:rPr>
          <w:sz w:val="24"/>
          <w:szCs w:val="24"/>
        </w:rPr>
        <w:t xml:space="preserve">по-прежнему </w:t>
      </w:r>
      <w:r w:rsidRPr="00D422D9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>134431,9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-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налог на совокупный доход</w:t>
      </w:r>
      <w:r>
        <w:rPr>
          <w:sz w:val="24"/>
          <w:szCs w:val="24"/>
        </w:rPr>
        <w:t xml:space="preserve"> составит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Pr="00D757BB">
        <w:rPr>
          <w:sz w:val="24"/>
          <w:szCs w:val="24"/>
        </w:rPr>
        <w:t xml:space="preserve">увеличатся на </w:t>
      </w:r>
      <w:r w:rsidR="00190AD2">
        <w:rPr>
          <w:sz w:val="24"/>
          <w:szCs w:val="24"/>
        </w:rPr>
        <w:t>1230,0</w:t>
      </w:r>
      <w:r w:rsidRPr="00D757BB">
        <w:rPr>
          <w:sz w:val="24"/>
          <w:szCs w:val="24"/>
        </w:rPr>
        <w:t xml:space="preserve"> тыс. рублей составят  </w:t>
      </w:r>
      <w:r w:rsidR="00190AD2">
        <w:rPr>
          <w:sz w:val="24"/>
          <w:szCs w:val="24"/>
        </w:rPr>
        <w:t>10690</w:t>
      </w:r>
      <w:r>
        <w:rPr>
          <w:sz w:val="24"/>
          <w:szCs w:val="24"/>
        </w:rPr>
        <w:t>,0</w:t>
      </w:r>
      <w:r w:rsidRPr="00D757BB">
        <w:rPr>
          <w:sz w:val="24"/>
          <w:szCs w:val="24"/>
        </w:rPr>
        <w:t xml:space="preserve">  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 поступления по аренде земельных участков  </w:t>
      </w:r>
      <w:r w:rsidR="00190AD2">
        <w:rPr>
          <w:sz w:val="24"/>
          <w:szCs w:val="24"/>
        </w:rPr>
        <w:t xml:space="preserve">увеличатся на 1148,3 тыс. рублей и </w:t>
      </w:r>
      <w:r w:rsidRPr="00D757BB">
        <w:rPr>
          <w:sz w:val="24"/>
          <w:szCs w:val="24"/>
        </w:rPr>
        <w:t xml:space="preserve"> составят </w:t>
      </w:r>
      <w:r w:rsidR="00190AD2">
        <w:rPr>
          <w:sz w:val="24"/>
          <w:szCs w:val="24"/>
        </w:rPr>
        <w:t>7685,5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</w:t>
      </w:r>
      <w:r w:rsidR="00190AD2">
        <w:rPr>
          <w:sz w:val="24"/>
          <w:szCs w:val="24"/>
        </w:rPr>
        <w:t xml:space="preserve">без изменений остаются </w:t>
      </w:r>
      <w:r w:rsidRPr="00D757BB">
        <w:rPr>
          <w:sz w:val="24"/>
          <w:szCs w:val="24"/>
        </w:rPr>
        <w:t xml:space="preserve"> доходы от сдачи в аренду муниципального имущества </w:t>
      </w:r>
      <w:r>
        <w:rPr>
          <w:sz w:val="24"/>
          <w:szCs w:val="24"/>
        </w:rPr>
        <w:t xml:space="preserve"> (в том числе земельных участков)  и составят  2205,8 </w:t>
      </w:r>
      <w:r w:rsidRPr="00D757BB">
        <w:rPr>
          <w:sz w:val="24"/>
          <w:szCs w:val="24"/>
        </w:rPr>
        <w:t xml:space="preserve">тыс. рублей,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увеличатся на </w:t>
      </w:r>
      <w:r w:rsidR="00190AD2">
        <w:rPr>
          <w:sz w:val="24"/>
          <w:szCs w:val="24"/>
        </w:rPr>
        <w:t>81,7</w:t>
      </w:r>
      <w:r w:rsidRPr="00D757BB">
        <w:rPr>
          <w:sz w:val="24"/>
          <w:szCs w:val="24"/>
        </w:rPr>
        <w:t xml:space="preserve"> тыс. руб.  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(ООО «Полиграфист) и составят </w:t>
      </w:r>
      <w:r w:rsidR="00190AD2">
        <w:rPr>
          <w:sz w:val="24"/>
          <w:szCs w:val="24"/>
        </w:rPr>
        <w:t>798,7</w:t>
      </w:r>
      <w:r>
        <w:rPr>
          <w:sz w:val="24"/>
          <w:szCs w:val="24"/>
        </w:rPr>
        <w:t xml:space="preserve"> тыс. рублей.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 w:rsidR="000D766A">
        <w:rPr>
          <w:sz w:val="24"/>
          <w:szCs w:val="24"/>
        </w:rPr>
        <w:t xml:space="preserve">не </w:t>
      </w:r>
      <w:r>
        <w:rPr>
          <w:sz w:val="24"/>
          <w:szCs w:val="24"/>
        </w:rPr>
        <w:t>увеличатся и</w:t>
      </w:r>
      <w:r w:rsidRPr="00CF36CB">
        <w:rPr>
          <w:sz w:val="24"/>
          <w:szCs w:val="24"/>
        </w:rPr>
        <w:t xml:space="preserve"> </w:t>
      </w:r>
      <w:r w:rsidR="000D766A">
        <w:rPr>
          <w:sz w:val="24"/>
          <w:szCs w:val="24"/>
        </w:rPr>
        <w:t xml:space="preserve">так же </w:t>
      </w:r>
      <w:r w:rsidRPr="00CF36CB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>1482,7</w:t>
      </w:r>
      <w:r w:rsidRPr="00CF36CB">
        <w:rPr>
          <w:sz w:val="24"/>
          <w:szCs w:val="24"/>
        </w:rPr>
        <w:t xml:space="preserve"> тыс. рублей.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(земельных участков) увеличатся на </w:t>
      </w:r>
      <w:r w:rsidR="000D766A">
        <w:rPr>
          <w:sz w:val="24"/>
          <w:szCs w:val="24"/>
        </w:rPr>
        <w:t>68,2</w:t>
      </w:r>
      <w:r>
        <w:rPr>
          <w:sz w:val="24"/>
          <w:szCs w:val="24"/>
        </w:rPr>
        <w:t xml:space="preserve"> тыс. рублей и</w:t>
      </w:r>
      <w:r w:rsidRPr="00D422D9">
        <w:rPr>
          <w:sz w:val="24"/>
          <w:szCs w:val="24"/>
        </w:rPr>
        <w:t xml:space="preserve"> составят </w:t>
      </w:r>
      <w:r w:rsidR="000D766A">
        <w:rPr>
          <w:sz w:val="24"/>
          <w:szCs w:val="24"/>
        </w:rPr>
        <w:t>2445,4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доходы от поступления  сумм штрафов за нарушение законодательства о контрактной системе в сфере закупок и прочих поступлений</w:t>
      </w:r>
      <w:r>
        <w:rPr>
          <w:sz w:val="24"/>
          <w:szCs w:val="24"/>
        </w:rPr>
        <w:t>, в том числе в целях возмещения вреда, причиняемого автомобильным дорогам,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увеличатся на </w:t>
      </w:r>
      <w:r w:rsidR="006C4D56">
        <w:rPr>
          <w:sz w:val="24"/>
          <w:szCs w:val="24"/>
        </w:rPr>
        <w:t>2,6</w:t>
      </w:r>
      <w:r>
        <w:rPr>
          <w:sz w:val="24"/>
          <w:szCs w:val="24"/>
        </w:rPr>
        <w:t xml:space="preserve"> тыс. рублей и  </w:t>
      </w:r>
      <w:r w:rsidRPr="00D422D9">
        <w:rPr>
          <w:sz w:val="24"/>
          <w:szCs w:val="24"/>
        </w:rPr>
        <w:t xml:space="preserve">составят </w:t>
      </w:r>
      <w:r w:rsidR="006C4D56">
        <w:rPr>
          <w:sz w:val="24"/>
          <w:szCs w:val="24"/>
        </w:rPr>
        <w:t>138,2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Pr="00CF36C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>
        <w:rPr>
          <w:sz w:val="24"/>
          <w:szCs w:val="24"/>
        </w:rPr>
        <w:t xml:space="preserve">увеличатся на </w:t>
      </w:r>
      <w:r w:rsidR="006C4D56">
        <w:rPr>
          <w:sz w:val="24"/>
          <w:szCs w:val="24"/>
        </w:rPr>
        <w:t>150</w:t>
      </w:r>
      <w:r>
        <w:rPr>
          <w:sz w:val="24"/>
          <w:szCs w:val="24"/>
        </w:rPr>
        <w:t xml:space="preserve">,0 тыс. рублей </w:t>
      </w:r>
      <w:r w:rsidRPr="00CF36CB">
        <w:rPr>
          <w:sz w:val="24"/>
          <w:szCs w:val="24"/>
        </w:rPr>
        <w:t xml:space="preserve">  и  составят  </w:t>
      </w:r>
      <w:r w:rsidR="006C4D56">
        <w:rPr>
          <w:sz w:val="24"/>
          <w:szCs w:val="24"/>
        </w:rPr>
        <w:t>110</w:t>
      </w:r>
      <w:r>
        <w:rPr>
          <w:sz w:val="24"/>
          <w:szCs w:val="24"/>
        </w:rPr>
        <w:t>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516CD4" w:rsidRPr="00B611DB" w:rsidRDefault="00516CD4" w:rsidP="00516CD4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>
        <w:rPr>
          <w:sz w:val="24"/>
          <w:szCs w:val="24"/>
        </w:rPr>
        <w:t xml:space="preserve">поступлений увеличатся на </w:t>
      </w:r>
      <w:r w:rsidR="001935EC">
        <w:rPr>
          <w:sz w:val="24"/>
          <w:szCs w:val="24"/>
        </w:rPr>
        <w:t>969,3</w:t>
      </w:r>
      <w:r>
        <w:rPr>
          <w:sz w:val="24"/>
          <w:szCs w:val="24"/>
        </w:rPr>
        <w:t xml:space="preserve"> тыс. рублей и  составят </w:t>
      </w:r>
      <w:r w:rsidR="001935EC">
        <w:rPr>
          <w:bCs/>
          <w:sz w:val="24"/>
          <w:szCs w:val="24"/>
        </w:rPr>
        <w:t>82124,1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lastRenderedPageBreak/>
        <w:t xml:space="preserve">-  субвенции бюджетам поселений на выполнение передаваемых полномочий (Служба по тарифам Иркутской области) 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субсидия бюджетам по программе формирования комфортной городской среды – 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на реализацию мероприятий перечня проектов народных инициатив  -  15000,0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мероприятия по переселению граждан из непредназначенного для проживания </w:t>
      </w:r>
      <w:proofErr w:type="gramStart"/>
      <w:r>
        <w:rPr>
          <w:bCs/>
          <w:sz w:val="24"/>
          <w:szCs w:val="24"/>
        </w:rPr>
        <w:t>строений, созданных в период промышленного освоения Сибири и Дальнего Востока  увеличится</w:t>
      </w:r>
      <w:proofErr w:type="gramEnd"/>
      <w:r>
        <w:rPr>
          <w:bCs/>
          <w:sz w:val="24"/>
          <w:szCs w:val="24"/>
        </w:rPr>
        <w:t xml:space="preserve"> на 432,7 тыс. рублей и составит 5386,7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субсидия на  обустройство мест накопления ТКО – 420,2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актуализацию документов  градостроительного зонирования  - 1410,5 тыс. рублей; 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возврат субсидий прошлых лет по программе «Молодым семьям – доступное жилье»  - 192,3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доходы  бюджета от возврата остатков субсидий прошлых лет – 1,2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- 76,3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 Фонда содействия реформирования ЖКХ на переселение граждан из аварийного жилья – 29891,9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 на актуализацию документов  территориального планирования – 4938,9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прочее безвозмездное поступление -  грант  МКУ «Библиотечное объединение»  в сумме 700,2 тыс. рублей;</w:t>
      </w:r>
    </w:p>
    <w:p w:rsidR="001935EC" w:rsidRDefault="001935EC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добавляется дотация бюджетам городских поселений на выравнивание бюджетной обеспеченности  из бюджета </w:t>
      </w:r>
      <w:proofErr w:type="spellStart"/>
      <w:r w:rsidR="007575E5">
        <w:rPr>
          <w:bCs/>
          <w:sz w:val="24"/>
          <w:szCs w:val="24"/>
        </w:rPr>
        <w:t>Тайшетского</w:t>
      </w:r>
      <w:proofErr w:type="spellEnd"/>
      <w:r w:rsidR="007575E5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 xml:space="preserve"> – 969,3тыс. рублей.</w:t>
      </w: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средств на счетах учета на 01.01.2020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20090E">
        <w:rPr>
          <w:sz w:val="24"/>
          <w:szCs w:val="24"/>
        </w:rPr>
        <w:t>251</w:t>
      </w:r>
      <w:r w:rsidR="006653A2">
        <w:rPr>
          <w:sz w:val="24"/>
          <w:szCs w:val="24"/>
        </w:rPr>
        <w:t xml:space="preserve"> </w:t>
      </w:r>
      <w:r w:rsidR="0020090E">
        <w:rPr>
          <w:sz w:val="24"/>
          <w:szCs w:val="24"/>
        </w:rPr>
        <w:t>562,6</w:t>
      </w:r>
      <w:r w:rsidRPr="000E39EC">
        <w:rPr>
          <w:sz w:val="24"/>
          <w:szCs w:val="24"/>
        </w:rPr>
        <w:t xml:space="preserve"> тыс. рублей. </w:t>
      </w:r>
    </w:p>
    <w:p w:rsidR="00516CD4" w:rsidRPr="007575E5" w:rsidRDefault="00516CD4" w:rsidP="00516CD4">
      <w:pPr>
        <w:ind w:firstLine="708"/>
        <w:jc w:val="both"/>
        <w:rPr>
          <w:sz w:val="24"/>
          <w:szCs w:val="24"/>
        </w:rPr>
      </w:pPr>
      <w:proofErr w:type="gramStart"/>
      <w:r w:rsidRPr="007575E5">
        <w:rPr>
          <w:sz w:val="24"/>
          <w:szCs w:val="24"/>
        </w:rPr>
        <w:t xml:space="preserve">Настоящим проектом Решения о бюджете в 2020 году предусматривается финансирование </w:t>
      </w:r>
      <w:r w:rsidR="00EA48B5" w:rsidRPr="007575E5">
        <w:rPr>
          <w:sz w:val="24"/>
          <w:szCs w:val="24"/>
        </w:rPr>
        <w:t>18</w:t>
      </w:r>
      <w:r w:rsidRPr="007575E5">
        <w:rPr>
          <w:sz w:val="24"/>
          <w:szCs w:val="24"/>
        </w:rPr>
        <w:t xml:space="preserve"> муниципальных программ </w:t>
      </w:r>
      <w:r w:rsidR="00EA48B5" w:rsidRPr="007575E5">
        <w:rPr>
          <w:sz w:val="24"/>
          <w:szCs w:val="24"/>
        </w:rPr>
        <w:t xml:space="preserve">из 20-ти действующих </w:t>
      </w:r>
      <w:r w:rsidRPr="007575E5">
        <w:rPr>
          <w:sz w:val="24"/>
          <w:szCs w:val="24"/>
        </w:rPr>
        <w:t xml:space="preserve">в объеме </w:t>
      </w:r>
      <w:r w:rsidR="00637DA4" w:rsidRPr="007575E5">
        <w:rPr>
          <w:sz w:val="24"/>
          <w:szCs w:val="24"/>
        </w:rPr>
        <w:t>77989,48</w:t>
      </w:r>
      <w:r w:rsidRPr="007575E5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637DA4" w:rsidRPr="007575E5">
        <w:rPr>
          <w:sz w:val="24"/>
          <w:szCs w:val="24"/>
        </w:rPr>
        <w:t>31,0</w:t>
      </w:r>
      <w:r w:rsidRPr="007575E5">
        <w:rPr>
          <w:sz w:val="24"/>
          <w:szCs w:val="24"/>
        </w:rPr>
        <w:t xml:space="preserve">%. Предыдущим Решением Думы «О внесении  изменений в бюджет </w:t>
      </w:r>
      <w:proofErr w:type="spellStart"/>
      <w:r w:rsidRPr="007575E5">
        <w:rPr>
          <w:sz w:val="24"/>
          <w:szCs w:val="24"/>
        </w:rPr>
        <w:t>Тайшетского</w:t>
      </w:r>
      <w:proofErr w:type="spellEnd"/>
      <w:r w:rsidRPr="007575E5">
        <w:rPr>
          <w:sz w:val="24"/>
          <w:szCs w:val="24"/>
        </w:rPr>
        <w:t xml:space="preserve"> городского поселения» этот показатель  составлял </w:t>
      </w:r>
      <w:r w:rsidR="00637DA4" w:rsidRPr="007575E5">
        <w:rPr>
          <w:sz w:val="24"/>
          <w:szCs w:val="24"/>
        </w:rPr>
        <w:t>30,8</w:t>
      </w:r>
      <w:r w:rsidRPr="007575E5">
        <w:rPr>
          <w:sz w:val="24"/>
          <w:szCs w:val="24"/>
        </w:rPr>
        <w:t>%.  В связи с ростом дефицита бюджета сокращены мероприятия и финансирование  по следующим  муниципальным программам:</w:t>
      </w:r>
      <w:proofErr w:type="gramEnd"/>
      <w:r w:rsidRPr="007575E5">
        <w:rPr>
          <w:sz w:val="24"/>
          <w:szCs w:val="24"/>
        </w:rPr>
        <w:t xml:space="preserve"> </w:t>
      </w:r>
      <w:r w:rsidR="00637DA4" w:rsidRPr="007575E5">
        <w:rPr>
          <w:sz w:val="24"/>
          <w:szCs w:val="24"/>
        </w:rPr>
        <w:t xml:space="preserve">МП "Профилактика терроризма и экстремизма", МП "Обеспечение первичных мер пожарной безопасности", МП </w:t>
      </w:r>
      <w:r w:rsidR="00637DA4" w:rsidRPr="007575E5">
        <w:rPr>
          <w:rFonts w:eastAsia="Times New Roman"/>
          <w:sz w:val="24"/>
          <w:szCs w:val="24"/>
        </w:rPr>
        <w:t xml:space="preserve">"Поощрение граждан, организаций за высокие показатели в общественно-полезной деятельности", МП «Социальная поддержка населения». </w:t>
      </w:r>
      <w:r w:rsidR="009B3037" w:rsidRPr="007575E5">
        <w:rPr>
          <w:sz w:val="24"/>
          <w:szCs w:val="24"/>
        </w:rPr>
        <w:t xml:space="preserve">В целях оптимизации расходов </w:t>
      </w:r>
      <w:r w:rsidRPr="007575E5">
        <w:rPr>
          <w:sz w:val="24"/>
          <w:szCs w:val="24"/>
        </w:rPr>
        <w:t xml:space="preserve"> финансирование на реализацию МП «</w:t>
      </w:r>
      <w:proofErr w:type="spellStart"/>
      <w:r w:rsidRPr="007575E5">
        <w:rPr>
          <w:sz w:val="24"/>
          <w:szCs w:val="24"/>
        </w:rPr>
        <w:t>Энергсбережение</w:t>
      </w:r>
      <w:proofErr w:type="spellEnd"/>
      <w:r w:rsidRPr="007575E5">
        <w:rPr>
          <w:sz w:val="24"/>
          <w:szCs w:val="24"/>
        </w:rPr>
        <w:t>» и МП "Развитие и поддержка субъектов малого предпринимательства"</w:t>
      </w:r>
      <w:r w:rsidR="009B3037" w:rsidRPr="007575E5">
        <w:rPr>
          <w:sz w:val="24"/>
          <w:szCs w:val="24"/>
        </w:rPr>
        <w:t xml:space="preserve"> не запланировано на 2020 год</w:t>
      </w:r>
      <w:r w:rsidRPr="007575E5">
        <w:rPr>
          <w:sz w:val="24"/>
          <w:szCs w:val="24"/>
        </w:rPr>
        <w:t>.</w:t>
      </w:r>
    </w:p>
    <w:p w:rsidR="00516CD4" w:rsidRPr="00E56F66" w:rsidRDefault="00516CD4" w:rsidP="00516CD4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E56F66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516CD4" w:rsidRPr="000646E4" w:rsidTr="00404344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516CD4" w:rsidRPr="000646E4" w:rsidTr="00404344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7494,7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1779,1</w:t>
            </w:r>
          </w:p>
        </w:tc>
      </w:tr>
      <w:tr w:rsidR="00516CD4" w:rsidRPr="000646E4" w:rsidTr="00404344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516CD4" w:rsidRPr="000646E4" w:rsidTr="00404344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</w:tr>
      <w:tr w:rsidR="00516CD4" w:rsidRPr="000646E4" w:rsidTr="00404344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1510,0</w:t>
            </w:r>
          </w:p>
        </w:tc>
      </w:tr>
      <w:tr w:rsidR="00516CD4" w:rsidRPr="000646E4" w:rsidTr="0040434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161,0</w:t>
            </w:r>
          </w:p>
        </w:tc>
      </w:tr>
      <w:tr w:rsidR="00516CD4" w:rsidRPr="000646E4" w:rsidTr="00404344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493,0</w:t>
            </w:r>
          </w:p>
        </w:tc>
      </w:tr>
      <w:tr w:rsidR="00516CD4" w:rsidRPr="000646E4" w:rsidTr="00404344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516CD4" w:rsidRPr="000646E4" w:rsidTr="00404344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32972,4</w:t>
            </w:r>
          </w:p>
        </w:tc>
      </w:tr>
      <w:tr w:rsidR="00516CD4" w:rsidRPr="000646E4" w:rsidTr="00404344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747D8E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835,8</w:t>
            </w:r>
          </w:p>
        </w:tc>
      </w:tr>
      <w:tr w:rsidR="00516CD4" w:rsidRPr="000646E4" w:rsidTr="00404344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888,1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6653A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697</w:t>
            </w:r>
            <w:r w:rsidR="006653A2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,7</w:t>
            </w:r>
          </w:p>
        </w:tc>
      </w:tr>
      <w:tr w:rsidR="00516CD4" w:rsidRPr="000646E4" w:rsidTr="00404344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439,0</w:t>
            </w:r>
          </w:p>
        </w:tc>
      </w:tr>
      <w:tr w:rsidR="00516CD4" w:rsidRPr="000646E4" w:rsidTr="00404344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646E4"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516CD4" w:rsidRPr="000646E4" w:rsidTr="0040434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747D8E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1382,5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6653A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484,</w:t>
            </w:r>
            <w:r w:rsidR="006653A2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554,5</w:t>
            </w:r>
          </w:p>
        </w:tc>
      </w:tr>
      <w:tr w:rsidR="00516CD4" w:rsidRPr="000646E4" w:rsidTr="00404344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77989,48</w:t>
            </w:r>
          </w:p>
        </w:tc>
      </w:tr>
    </w:tbl>
    <w:p w:rsidR="00516CD4" w:rsidRPr="000646E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 xml:space="preserve">Расходы по сравнению с редакцией решения Думы о бюджете от </w:t>
      </w:r>
      <w:r>
        <w:rPr>
          <w:sz w:val="24"/>
          <w:szCs w:val="24"/>
        </w:rPr>
        <w:t>2</w:t>
      </w:r>
      <w:r w:rsidR="0020090E">
        <w:rPr>
          <w:sz w:val="24"/>
          <w:szCs w:val="24"/>
        </w:rPr>
        <w:t>4</w:t>
      </w:r>
      <w:r w:rsidRPr="00AB5F3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0090E">
        <w:rPr>
          <w:sz w:val="24"/>
          <w:szCs w:val="24"/>
        </w:rPr>
        <w:t>9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B5F3A">
        <w:rPr>
          <w:sz w:val="24"/>
          <w:szCs w:val="24"/>
        </w:rPr>
        <w:t xml:space="preserve"> г. №</w:t>
      </w:r>
      <w:r>
        <w:rPr>
          <w:sz w:val="24"/>
          <w:szCs w:val="24"/>
        </w:rPr>
        <w:t>1</w:t>
      </w:r>
      <w:r w:rsidR="0020090E">
        <w:rPr>
          <w:sz w:val="24"/>
          <w:szCs w:val="24"/>
        </w:rPr>
        <w:t>75</w:t>
      </w:r>
      <w:r w:rsidRPr="00AB5F3A">
        <w:rPr>
          <w:sz w:val="24"/>
          <w:szCs w:val="24"/>
        </w:rPr>
        <w:t xml:space="preserve"> в целом увеличены на  </w:t>
      </w:r>
      <w:r w:rsidR="009D6772">
        <w:rPr>
          <w:b/>
          <w:sz w:val="24"/>
          <w:szCs w:val="24"/>
        </w:rPr>
        <w:t>2046,3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Default="00516CD4" w:rsidP="00516CD4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516CD4" w:rsidRPr="006E7409" w:rsidRDefault="00516CD4" w:rsidP="00516CD4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lastRenderedPageBreak/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200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бюджете на 2020 г. и плановые периоды 2021 и 2022 годы»  от 2</w:t>
            </w:r>
            <w:r w:rsidR="002009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20090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.2020 г. №1</w:t>
            </w:r>
            <w:r w:rsidR="0020090E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>
              <w:rPr>
                <w:sz w:val="18"/>
                <w:szCs w:val="18"/>
              </w:rPr>
              <w:t>сент.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6E740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925539" w:rsidRDefault="0020090E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92553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75005,5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925539" w:rsidRDefault="0020090E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-12,1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8E7621" w:rsidRDefault="0020090E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040BDC" w:rsidRDefault="0020090E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Default="0020090E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92553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Default="0020090E" w:rsidP="009421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  <w:r w:rsidR="009421C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Default="0020090E" w:rsidP="009421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  <w:r w:rsidR="009421C7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040BDC" w:rsidRDefault="0020090E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92553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040BDC" w:rsidRDefault="0020090E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-12,1</w:t>
            </w:r>
          </w:p>
        </w:tc>
      </w:tr>
      <w:tr w:rsidR="0020090E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E" w:rsidRPr="006E740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925539" w:rsidRDefault="0020090E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92553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925539" w:rsidRDefault="0020090E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+1023,6</w:t>
            </w:r>
          </w:p>
        </w:tc>
      </w:tr>
      <w:tr w:rsidR="0020090E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925539" w:rsidRDefault="0020090E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92553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52059,7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925539" w:rsidRDefault="006653A2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20090E">
              <w:rPr>
                <w:rFonts w:eastAsia="Times New Roman"/>
                <w:b/>
                <w:sz w:val="24"/>
                <w:szCs w:val="24"/>
              </w:rPr>
              <w:t>1153,1</w:t>
            </w:r>
          </w:p>
        </w:tc>
      </w:tr>
      <w:tr w:rsidR="0020090E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40616,2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2009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+1899,9</w:t>
            </w:r>
          </w:p>
        </w:tc>
      </w:tr>
      <w:tr w:rsidR="0020090E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20090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-746,8</w:t>
            </w:r>
          </w:p>
        </w:tc>
      </w:tr>
      <w:tr w:rsidR="0020090E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925539" w:rsidRDefault="0020090E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72503,5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92553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72384,6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925539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-119,0</w:t>
            </w:r>
          </w:p>
        </w:tc>
      </w:tr>
      <w:tr w:rsidR="0020090E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-102,4</w:t>
            </w:r>
          </w:p>
        </w:tc>
      </w:tr>
      <w:tr w:rsidR="0020090E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713D3F" w:rsidP="00404344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713D3F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+73,</w:t>
            </w:r>
            <w:r w:rsidR="00A22C9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0090E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-90,1</w:t>
            </w:r>
          </w:p>
        </w:tc>
      </w:tr>
      <w:tr w:rsidR="0020090E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900D83" w:rsidRDefault="0020090E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3F6233" w:rsidRDefault="0020090E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3F6233" w:rsidRDefault="00713D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3F6233" w:rsidRDefault="0020090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925539" w:rsidRDefault="0020090E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925539" w:rsidRDefault="00713D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925539" w:rsidRDefault="00713D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0090E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90E" w:rsidRPr="006E7409" w:rsidRDefault="0020090E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0E" w:rsidRPr="006E7409" w:rsidRDefault="0020090E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90E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90E" w:rsidRPr="006E7409" w:rsidRDefault="0020090E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9816FF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 w:rsidRPr="009816FF">
              <w:rPr>
                <w:rFonts w:eastAsia="Times New Roman"/>
                <w:b/>
                <w:sz w:val="24"/>
                <w:szCs w:val="24"/>
              </w:rPr>
              <w:t>18011,8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9816FF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 w:rsidRPr="009816FF">
              <w:rPr>
                <w:rFonts w:eastAsia="Times New Roman"/>
                <w:b/>
                <w:sz w:val="24"/>
                <w:szCs w:val="24"/>
              </w:rPr>
              <w:t>18011,8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9816FF" w:rsidRDefault="00713D3F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403E0E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403E0E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403E0E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403E0E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403E0E" w:rsidRDefault="00713D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6E7409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6E7409" w:rsidRDefault="00713D3F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работ, услуг для нужд МКУ «Библиотечное объединение» (за счет гранта)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925539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925539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925539" w:rsidRDefault="00713D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6E7409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6E7409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6E7409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925539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925539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925539" w:rsidRDefault="00713D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13D3F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87CE7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87CE7" w:rsidRDefault="00713D3F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87CE7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687CE7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687CE7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92553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92553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13D3F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Default="00713D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Default="00713D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22C9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98" w:rsidRDefault="00A22C9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98" w:rsidRPr="006E7409" w:rsidRDefault="00A22C9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C98" w:rsidRDefault="00A22C98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98" w:rsidRDefault="00A22C98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98" w:rsidRPr="00A22C98" w:rsidRDefault="00A22C98" w:rsidP="00404344">
            <w:pPr>
              <w:rPr>
                <w:rFonts w:eastAsia="Times New Roman"/>
                <w:b/>
                <w:sz w:val="24"/>
                <w:szCs w:val="24"/>
              </w:rPr>
            </w:pPr>
            <w:r w:rsidRPr="00A22C98">
              <w:rPr>
                <w:rFonts w:eastAsia="Times New Roman"/>
                <w:b/>
                <w:sz w:val="24"/>
                <w:szCs w:val="24"/>
              </w:rPr>
              <w:t>+0,6</w:t>
            </w:r>
          </w:p>
        </w:tc>
      </w:tr>
      <w:tr w:rsidR="00713D3F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D3F" w:rsidRPr="006E7409" w:rsidRDefault="00713D3F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3F" w:rsidRPr="00E56F66" w:rsidRDefault="00713D3F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249516,3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D3F" w:rsidRPr="00E56F66" w:rsidRDefault="00713D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251562,6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D3F" w:rsidRPr="00E56F66" w:rsidRDefault="00713D3F" w:rsidP="00713D3F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+</w:t>
            </w:r>
            <w:r>
              <w:rPr>
                <w:rFonts w:eastAsia="Times New Roman"/>
                <w:b/>
                <w:sz w:val="24"/>
                <w:szCs w:val="24"/>
              </w:rPr>
              <w:t>2046,3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1F733E" w:rsidRDefault="00516CD4" w:rsidP="00516CD4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Pr="00CC37BF" w:rsidRDefault="00516CD4" w:rsidP="00516CD4">
      <w:pPr>
        <w:ind w:firstLine="708"/>
        <w:jc w:val="both"/>
        <w:rPr>
          <w:sz w:val="24"/>
          <w:szCs w:val="24"/>
        </w:rPr>
      </w:pPr>
    </w:p>
    <w:p w:rsidR="009421C7" w:rsidRDefault="00516CD4" w:rsidP="009421C7">
      <w:pPr>
        <w:ind w:firstLine="708"/>
        <w:jc w:val="both"/>
        <w:rPr>
          <w:sz w:val="24"/>
          <w:szCs w:val="24"/>
        </w:rPr>
      </w:pPr>
      <w:r w:rsidRPr="00D333C5">
        <w:rPr>
          <w:b/>
          <w:sz w:val="24"/>
          <w:szCs w:val="24"/>
        </w:rPr>
        <w:t>По разделу 01</w:t>
      </w:r>
      <w:r w:rsidRPr="00107133">
        <w:rPr>
          <w:sz w:val="24"/>
          <w:szCs w:val="24"/>
        </w:rPr>
        <w:t xml:space="preserve"> «Общегосударственные вопросы» </w:t>
      </w:r>
      <w:r>
        <w:rPr>
          <w:sz w:val="24"/>
          <w:szCs w:val="24"/>
        </w:rPr>
        <w:t xml:space="preserve">объем бюджетных ассигнований  планируется сократить  на </w:t>
      </w:r>
      <w:r w:rsidR="002B3676">
        <w:rPr>
          <w:sz w:val="24"/>
          <w:szCs w:val="24"/>
        </w:rPr>
        <w:t>12,1</w:t>
      </w:r>
      <w:r>
        <w:rPr>
          <w:sz w:val="24"/>
          <w:szCs w:val="24"/>
        </w:rPr>
        <w:t xml:space="preserve"> тыс. рублей</w:t>
      </w:r>
      <w:r w:rsidR="00942A4C">
        <w:rPr>
          <w:sz w:val="24"/>
          <w:szCs w:val="24"/>
        </w:rPr>
        <w:t>,</w:t>
      </w:r>
      <w:r>
        <w:rPr>
          <w:sz w:val="24"/>
          <w:szCs w:val="24"/>
        </w:rPr>
        <w:t xml:space="preserve">  что составит  </w:t>
      </w:r>
      <w:r w:rsidR="002B3676">
        <w:rPr>
          <w:sz w:val="24"/>
          <w:szCs w:val="24"/>
        </w:rPr>
        <w:t>75005,5</w:t>
      </w:r>
      <w:r>
        <w:rPr>
          <w:sz w:val="24"/>
          <w:szCs w:val="24"/>
        </w:rPr>
        <w:t xml:space="preserve"> тыс. рублей, в том числе:</w:t>
      </w:r>
    </w:p>
    <w:p w:rsidR="009421C7" w:rsidRDefault="009421C7" w:rsidP="009421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F1A2E" w:rsidRPr="004F1A2E">
        <w:rPr>
          <w:sz w:val="24"/>
          <w:szCs w:val="24"/>
        </w:rPr>
        <w:t xml:space="preserve">юджетные ассигнования  на функционирование </w:t>
      </w:r>
      <w:r>
        <w:rPr>
          <w:sz w:val="24"/>
          <w:szCs w:val="24"/>
        </w:rPr>
        <w:t xml:space="preserve">органов местного самоуправления не изменятся и составят  </w:t>
      </w:r>
      <w:r w:rsidR="000159F3">
        <w:rPr>
          <w:sz w:val="24"/>
          <w:szCs w:val="24"/>
        </w:rPr>
        <w:t>64916,2</w:t>
      </w:r>
      <w:r>
        <w:rPr>
          <w:sz w:val="24"/>
          <w:szCs w:val="24"/>
        </w:rPr>
        <w:t xml:space="preserve">  тыс. рублей</w:t>
      </w:r>
      <w:r w:rsidR="000159F3">
        <w:rPr>
          <w:sz w:val="24"/>
          <w:szCs w:val="24"/>
        </w:rPr>
        <w:t xml:space="preserve"> (глава – 2757,5 тыс. руб., органы местного самоуправления – 62158,7 тыс. руб.)</w:t>
      </w:r>
      <w:r>
        <w:rPr>
          <w:sz w:val="24"/>
          <w:szCs w:val="24"/>
        </w:rPr>
        <w:t>.</w:t>
      </w:r>
    </w:p>
    <w:p w:rsidR="009421C7" w:rsidRPr="000224CF" w:rsidRDefault="009421C7" w:rsidP="009421C7">
      <w:pPr>
        <w:ind w:firstLine="708"/>
        <w:jc w:val="both"/>
        <w:rPr>
          <w:sz w:val="24"/>
          <w:szCs w:val="24"/>
        </w:rPr>
      </w:pPr>
    </w:p>
    <w:p w:rsidR="00516CD4" w:rsidRDefault="009421C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D4">
        <w:rPr>
          <w:sz w:val="24"/>
          <w:szCs w:val="24"/>
        </w:rPr>
        <w:t xml:space="preserve">о </w:t>
      </w:r>
      <w:r w:rsidR="00A72063">
        <w:rPr>
          <w:sz w:val="24"/>
          <w:szCs w:val="24"/>
        </w:rPr>
        <w:t>подразделу 0113 «Д</w:t>
      </w:r>
      <w:r w:rsidR="00516CD4">
        <w:rPr>
          <w:sz w:val="24"/>
          <w:szCs w:val="24"/>
        </w:rPr>
        <w:t>руги</w:t>
      </w:r>
      <w:r w:rsidR="00A72063">
        <w:rPr>
          <w:sz w:val="24"/>
          <w:szCs w:val="24"/>
        </w:rPr>
        <w:t>е</w:t>
      </w:r>
      <w:r w:rsidR="00516CD4">
        <w:rPr>
          <w:sz w:val="24"/>
          <w:szCs w:val="24"/>
        </w:rPr>
        <w:t xml:space="preserve"> общегосударственны</w:t>
      </w:r>
      <w:r w:rsidR="00A72063">
        <w:rPr>
          <w:sz w:val="24"/>
          <w:szCs w:val="24"/>
        </w:rPr>
        <w:t>е</w:t>
      </w:r>
      <w:r w:rsidR="00516CD4">
        <w:rPr>
          <w:sz w:val="24"/>
          <w:szCs w:val="24"/>
        </w:rPr>
        <w:t xml:space="preserve"> вопрос</w:t>
      </w:r>
      <w:r w:rsidR="00A72063">
        <w:rPr>
          <w:sz w:val="24"/>
          <w:szCs w:val="24"/>
        </w:rPr>
        <w:t>ы»</w:t>
      </w:r>
      <w:r w:rsidR="00516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сокращено финансирование  </w:t>
      </w:r>
      <w:r w:rsidR="00516CD4">
        <w:rPr>
          <w:sz w:val="24"/>
          <w:szCs w:val="24"/>
        </w:rPr>
        <w:t xml:space="preserve">на </w:t>
      </w:r>
      <w:r w:rsidR="002B3676">
        <w:rPr>
          <w:sz w:val="24"/>
          <w:szCs w:val="24"/>
        </w:rPr>
        <w:t>12,1</w:t>
      </w:r>
      <w:r w:rsidR="00516CD4">
        <w:rPr>
          <w:sz w:val="24"/>
          <w:szCs w:val="24"/>
        </w:rPr>
        <w:t xml:space="preserve"> тыс. рублей, </w:t>
      </w:r>
      <w:r w:rsidR="00942A4C">
        <w:rPr>
          <w:sz w:val="24"/>
          <w:szCs w:val="24"/>
        </w:rPr>
        <w:t xml:space="preserve">что составит </w:t>
      </w:r>
      <w:r w:rsidR="002B3676">
        <w:rPr>
          <w:sz w:val="24"/>
          <w:szCs w:val="24"/>
        </w:rPr>
        <w:t>9691,0</w:t>
      </w:r>
      <w:r w:rsidR="00942A4C">
        <w:rPr>
          <w:sz w:val="24"/>
          <w:szCs w:val="24"/>
        </w:rPr>
        <w:t xml:space="preserve"> тыс. рублей, </w:t>
      </w:r>
      <w:r w:rsidR="00516CD4">
        <w:rPr>
          <w:sz w:val="24"/>
          <w:szCs w:val="24"/>
        </w:rPr>
        <w:t xml:space="preserve">в том числе: </w:t>
      </w:r>
    </w:p>
    <w:p w:rsidR="00516CD4" w:rsidRPr="00A03A5E" w:rsidRDefault="00A03A5E" w:rsidP="00A03A5E">
      <w:pPr>
        <w:ind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6CD4" w:rsidRPr="00A03A5E">
        <w:rPr>
          <w:sz w:val="24"/>
          <w:szCs w:val="24"/>
        </w:rPr>
        <w:t xml:space="preserve">по муниципальной программе «Управление и распоряжение муниципальным имуществом» </w:t>
      </w:r>
      <w:r w:rsidR="002B3676" w:rsidRPr="00A03A5E">
        <w:rPr>
          <w:sz w:val="24"/>
          <w:szCs w:val="24"/>
        </w:rPr>
        <w:t xml:space="preserve"> увеличивается финансирование  на  </w:t>
      </w:r>
      <w:r w:rsidR="00516CD4" w:rsidRPr="00A03A5E">
        <w:rPr>
          <w:sz w:val="24"/>
          <w:szCs w:val="24"/>
        </w:rPr>
        <w:t xml:space="preserve"> мероприяти</w:t>
      </w:r>
      <w:r w:rsidR="004F1A2E" w:rsidRPr="00A03A5E">
        <w:rPr>
          <w:sz w:val="24"/>
          <w:szCs w:val="24"/>
        </w:rPr>
        <w:t>я</w:t>
      </w:r>
      <w:r w:rsidR="00516CD4" w:rsidRPr="00A03A5E">
        <w:rPr>
          <w:sz w:val="24"/>
          <w:szCs w:val="24"/>
        </w:rPr>
        <w:t xml:space="preserve"> по проведению земельно-кадастровых работ на </w:t>
      </w:r>
      <w:r w:rsidR="002B3676" w:rsidRPr="00A03A5E">
        <w:rPr>
          <w:sz w:val="24"/>
          <w:szCs w:val="24"/>
        </w:rPr>
        <w:t>195,8</w:t>
      </w:r>
      <w:r w:rsidR="00516CD4" w:rsidRPr="00A03A5E">
        <w:rPr>
          <w:sz w:val="24"/>
          <w:szCs w:val="24"/>
        </w:rPr>
        <w:t xml:space="preserve"> тыс. рублей</w:t>
      </w:r>
      <w:r w:rsidR="00A9523F" w:rsidRPr="00A03A5E">
        <w:rPr>
          <w:sz w:val="24"/>
          <w:szCs w:val="24"/>
        </w:rPr>
        <w:t>.</w:t>
      </w:r>
      <w:r w:rsidR="00942A4C" w:rsidRPr="00A03A5E">
        <w:rPr>
          <w:sz w:val="24"/>
          <w:szCs w:val="24"/>
        </w:rPr>
        <w:t xml:space="preserve"> Всего по программе в данном подразделе  утверждаются  бюджетные ассигнования в сумме </w:t>
      </w:r>
      <w:r w:rsidR="002B3676" w:rsidRPr="00A03A5E">
        <w:rPr>
          <w:sz w:val="24"/>
          <w:szCs w:val="24"/>
        </w:rPr>
        <w:t>975,2</w:t>
      </w:r>
      <w:r w:rsidR="00942A4C" w:rsidRPr="00A03A5E">
        <w:rPr>
          <w:sz w:val="24"/>
          <w:szCs w:val="24"/>
        </w:rPr>
        <w:t xml:space="preserve"> тыс. рублей.</w:t>
      </w:r>
    </w:p>
    <w:p w:rsidR="00516CD4" w:rsidRPr="009673CE" w:rsidRDefault="00A03A5E" w:rsidP="00A03A5E">
      <w:pPr>
        <w:pStyle w:val="a3"/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6CD4" w:rsidRPr="009673CE">
        <w:rPr>
          <w:sz w:val="24"/>
          <w:szCs w:val="24"/>
        </w:rPr>
        <w:t xml:space="preserve">по муниципальной программе   «Поощрение граждан, организаций за высокие показатели в общественно-полезной деятельности»  </w:t>
      </w:r>
      <w:r w:rsidR="002B3676">
        <w:rPr>
          <w:sz w:val="24"/>
          <w:szCs w:val="24"/>
        </w:rPr>
        <w:t>сокращены</w:t>
      </w:r>
      <w:r w:rsidR="00516CD4" w:rsidRPr="009673CE">
        <w:rPr>
          <w:sz w:val="24"/>
          <w:szCs w:val="24"/>
        </w:rPr>
        <w:t xml:space="preserve"> бюджетные ассигнования на </w:t>
      </w:r>
      <w:r w:rsidR="002B3676">
        <w:rPr>
          <w:sz w:val="24"/>
          <w:szCs w:val="24"/>
        </w:rPr>
        <w:t>207,9</w:t>
      </w:r>
      <w:r w:rsidR="00516CD4" w:rsidRPr="009673CE">
        <w:rPr>
          <w:sz w:val="24"/>
          <w:szCs w:val="24"/>
        </w:rPr>
        <w:t xml:space="preserve"> тыс. рублей на </w:t>
      </w:r>
      <w:r w:rsidR="002B3676">
        <w:rPr>
          <w:sz w:val="24"/>
          <w:szCs w:val="24"/>
        </w:rPr>
        <w:t>поздравления с профессиональными праздниками, юбилейными датами, награждения Почетными грамотами главы</w:t>
      </w:r>
      <w:r w:rsidR="00516CD4" w:rsidRPr="009673CE">
        <w:rPr>
          <w:sz w:val="24"/>
          <w:szCs w:val="24"/>
        </w:rPr>
        <w:t xml:space="preserve"> </w:t>
      </w:r>
      <w:proofErr w:type="spellStart"/>
      <w:r w:rsidR="00516CD4" w:rsidRPr="009673CE">
        <w:rPr>
          <w:sz w:val="24"/>
          <w:szCs w:val="24"/>
        </w:rPr>
        <w:t>Тайшет</w:t>
      </w:r>
      <w:r w:rsidR="002B3676">
        <w:rPr>
          <w:sz w:val="24"/>
          <w:szCs w:val="24"/>
        </w:rPr>
        <w:t>ского</w:t>
      </w:r>
      <w:proofErr w:type="spellEnd"/>
      <w:r w:rsidR="002B3676">
        <w:rPr>
          <w:sz w:val="24"/>
          <w:szCs w:val="24"/>
        </w:rPr>
        <w:t xml:space="preserve"> городского поселения, вручение приветственных адресов</w:t>
      </w:r>
      <w:r w:rsidR="00516CD4" w:rsidRPr="009673CE">
        <w:rPr>
          <w:sz w:val="24"/>
          <w:szCs w:val="24"/>
        </w:rPr>
        <w:t>.</w:t>
      </w:r>
      <w:r w:rsidR="000871B8">
        <w:rPr>
          <w:sz w:val="24"/>
          <w:szCs w:val="24"/>
        </w:rPr>
        <w:t xml:space="preserve"> Всего расходов </w:t>
      </w:r>
      <w:r w:rsidR="00A9523F">
        <w:rPr>
          <w:sz w:val="24"/>
          <w:szCs w:val="24"/>
        </w:rPr>
        <w:t xml:space="preserve">в этом </w:t>
      </w:r>
      <w:r w:rsidR="000871B8">
        <w:rPr>
          <w:sz w:val="24"/>
          <w:szCs w:val="24"/>
        </w:rPr>
        <w:t xml:space="preserve"> подраздел</w:t>
      </w:r>
      <w:r w:rsidR="00A9523F">
        <w:rPr>
          <w:sz w:val="24"/>
          <w:szCs w:val="24"/>
        </w:rPr>
        <w:t>е на МП «П</w:t>
      </w:r>
      <w:r w:rsidR="00A9523F" w:rsidRPr="00A9523F">
        <w:rPr>
          <w:sz w:val="24"/>
          <w:szCs w:val="24"/>
        </w:rPr>
        <w:t xml:space="preserve">оощрение граждан, организаций за высокие показатели в общественно-полезной деятельности»  </w:t>
      </w:r>
      <w:r w:rsidR="000871B8">
        <w:rPr>
          <w:sz w:val="24"/>
          <w:szCs w:val="24"/>
        </w:rPr>
        <w:t xml:space="preserve"> </w:t>
      </w:r>
      <w:r w:rsidR="00A9523F">
        <w:rPr>
          <w:sz w:val="24"/>
          <w:szCs w:val="24"/>
        </w:rPr>
        <w:t xml:space="preserve"> </w:t>
      </w:r>
      <w:r w:rsidR="000871B8">
        <w:rPr>
          <w:sz w:val="24"/>
          <w:szCs w:val="24"/>
        </w:rPr>
        <w:t xml:space="preserve">утверждается в сумме </w:t>
      </w:r>
      <w:r w:rsidR="00A9523F">
        <w:rPr>
          <w:sz w:val="24"/>
          <w:szCs w:val="24"/>
        </w:rPr>
        <w:t>636,1</w:t>
      </w:r>
      <w:r w:rsidR="000871B8">
        <w:rPr>
          <w:sz w:val="24"/>
          <w:szCs w:val="24"/>
        </w:rPr>
        <w:t xml:space="preserve"> тыс. рублей.</w:t>
      </w:r>
    </w:p>
    <w:p w:rsidR="00A9523F" w:rsidRDefault="00A9523F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 же  на прежнем уровне утверждаются бюджетные ассигнования по МП «Содержание имущества казны» в сумме 191,0 тыс. рублей;</w:t>
      </w:r>
    </w:p>
    <w:p w:rsidR="00A9523F" w:rsidRDefault="00A9523F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разделу 0113 в мероприятия МП «Социальная поддержка населения и организаций» изменения не вносятся и </w:t>
      </w:r>
      <w:r w:rsidR="0021768D">
        <w:rPr>
          <w:sz w:val="24"/>
          <w:szCs w:val="24"/>
        </w:rPr>
        <w:t>планируются</w:t>
      </w:r>
      <w:r>
        <w:rPr>
          <w:sz w:val="24"/>
          <w:szCs w:val="24"/>
        </w:rPr>
        <w:t xml:space="preserve"> в сумме 147,5 тыс. рублей. </w:t>
      </w:r>
    </w:p>
    <w:p w:rsidR="00D333C5" w:rsidRDefault="009421C7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F1A2E">
        <w:rPr>
          <w:sz w:val="24"/>
          <w:szCs w:val="24"/>
        </w:rPr>
        <w:t>бщая сумма, запланированная на 20</w:t>
      </w:r>
      <w:r>
        <w:rPr>
          <w:sz w:val="24"/>
          <w:szCs w:val="24"/>
        </w:rPr>
        <w:t>20 год</w:t>
      </w:r>
      <w:r w:rsidRPr="004F1A2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F1A2E" w:rsidRPr="004F1A2E">
        <w:rPr>
          <w:sz w:val="24"/>
          <w:szCs w:val="24"/>
        </w:rPr>
        <w:t>а непрограммные расходы  по информированию населения о деятельности органов местног</w:t>
      </w:r>
      <w:r>
        <w:rPr>
          <w:sz w:val="24"/>
          <w:szCs w:val="24"/>
        </w:rPr>
        <w:t>о самоуправления,   организаций</w:t>
      </w:r>
      <w:r w:rsidR="004F1A2E" w:rsidRPr="004F1A2E">
        <w:rPr>
          <w:sz w:val="24"/>
          <w:szCs w:val="24"/>
        </w:rPr>
        <w:t xml:space="preserve"> </w:t>
      </w:r>
      <w:proofErr w:type="gramStart"/>
      <w:r w:rsidR="00D333C5">
        <w:rPr>
          <w:sz w:val="24"/>
          <w:szCs w:val="24"/>
        </w:rPr>
        <w:t>по</w:t>
      </w:r>
      <w:proofErr w:type="gramEnd"/>
      <w:r w:rsidR="00D333C5">
        <w:rPr>
          <w:sz w:val="24"/>
          <w:szCs w:val="24"/>
        </w:rPr>
        <w:t xml:space="preserve"> прежнему </w:t>
      </w:r>
      <w:r w:rsidR="004F1A2E" w:rsidRPr="004F1A2E">
        <w:rPr>
          <w:sz w:val="24"/>
          <w:szCs w:val="24"/>
        </w:rPr>
        <w:t>составит 3211,7 тыс. рублей</w:t>
      </w:r>
      <w:r w:rsidR="00D333C5" w:rsidRPr="00D333C5">
        <w:rPr>
          <w:sz w:val="24"/>
          <w:szCs w:val="24"/>
        </w:rPr>
        <w:t xml:space="preserve"> </w:t>
      </w:r>
    </w:p>
    <w:p w:rsidR="00D333C5" w:rsidRDefault="00D333C5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Без изменений утвержд</w:t>
      </w:r>
      <w:r>
        <w:rPr>
          <w:sz w:val="24"/>
          <w:szCs w:val="24"/>
        </w:rPr>
        <w:t>аются</w:t>
      </w:r>
      <w:r>
        <w:rPr>
          <w:sz w:val="24"/>
          <w:szCs w:val="24"/>
        </w:rPr>
        <w:t xml:space="preserve"> бюджетные ассигнования по МП «Управление и распоряжение муниципальным имуществом»  в сумме 4528,8 тыс. рублей. Средства были направлены на приобретение  вакуумной </w:t>
      </w:r>
      <w:proofErr w:type="gramStart"/>
      <w:r>
        <w:rPr>
          <w:sz w:val="24"/>
          <w:szCs w:val="24"/>
        </w:rPr>
        <w:t>автоцистерны</w:t>
      </w:r>
      <w:proofErr w:type="gramEnd"/>
      <w:r>
        <w:rPr>
          <w:sz w:val="24"/>
          <w:szCs w:val="24"/>
        </w:rPr>
        <w:t xml:space="preserve"> на шасси КАМАЗ согласно перечня народных инициатив за счет областного бюджета;</w:t>
      </w:r>
    </w:p>
    <w:p w:rsidR="00D333C5" w:rsidRDefault="00D333C5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переданные полномочия  по административным комиссиям </w:t>
      </w:r>
      <w:proofErr w:type="gramStart"/>
      <w:r>
        <w:rPr>
          <w:sz w:val="24"/>
          <w:szCs w:val="24"/>
        </w:rPr>
        <w:t>по прежнему</w:t>
      </w:r>
      <w:proofErr w:type="gramEnd"/>
      <w:r>
        <w:rPr>
          <w:sz w:val="24"/>
          <w:szCs w:val="24"/>
        </w:rPr>
        <w:t xml:space="preserve"> составят 0,7 тыс. рублей.</w:t>
      </w:r>
    </w:p>
    <w:p w:rsidR="004F1A2E" w:rsidRDefault="004F1A2E" w:rsidP="00516CD4">
      <w:pPr>
        <w:ind w:firstLine="708"/>
        <w:jc w:val="both"/>
        <w:rPr>
          <w:sz w:val="24"/>
          <w:szCs w:val="24"/>
        </w:rPr>
      </w:pPr>
    </w:p>
    <w:p w:rsidR="00516CD4" w:rsidRDefault="000159F3" w:rsidP="00516CD4">
      <w:pPr>
        <w:ind w:firstLine="708"/>
        <w:jc w:val="both"/>
        <w:rPr>
          <w:sz w:val="24"/>
          <w:szCs w:val="24"/>
        </w:rPr>
      </w:pPr>
      <w:r w:rsidRPr="000159F3">
        <w:rPr>
          <w:b/>
          <w:sz w:val="24"/>
          <w:szCs w:val="24"/>
        </w:rPr>
        <w:t>По  разделу 0111</w:t>
      </w:r>
      <w:r>
        <w:rPr>
          <w:sz w:val="24"/>
          <w:szCs w:val="24"/>
        </w:rPr>
        <w:t xml:space="preserve"> о</w:t>
      </w:r>
      <w:r w:rsidR="00516CD4">
        <w:rPr>
          <w:sz w:val="24"/>
          <w:szCs w:val="24"/>
        </w:rPr>
        <w:t xml:space="preserve">статок бюджетных ассигнований </w:t>
      </w:r>
      <w:r w:rsidR="00516CD4" w:rsidRPr="00D333C5">
        <w:rPr>
          <w:b/>
          <w:sz w:val="24"/>
          <w:szCs w:val="24"/>
        </w:rPr>
        <w:t>резервного фонда</w:t>
      </w:r>
      <w:r w:rsidR="00516CD4">
        <w:rPr>
          <w:sz w:val="24"/>
          <w:szCs w:val="24"/>
        </w:rPr>
        <w:t xml:space="preserve"> утверждается по-прежнему  в сумме 398,3 тыс. рублей.   Сумма 101,3 тыс. рублей направлена на приобретение средств защиты (антисептика, масок) в период пандемии.</w:t>
      </w:r>
    </w:p>
    <w:p w:rsidR="004F1A2E" w:rsidRDefault="004F1A2E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D333C5">
        <w:rPr>
          <w:b/>
          <w:sz w:val="24"/>
          <w:szCs w:val="24"/>
        </w:rPr>
        <w:t>По разделу  03</w:t>
      </w:r>
      <w:r>
        <w:rPr>
          <w:sz w:val="24"/>
          <w:szCs w:val="24"/>
        </w:rPr>
        <w:t xml:space="preserve">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 xml:space="preserve">» бюджетные ассигнования увеличатся на </w:t>
      </w:r>
      <w:r w:rsidR="00404037">
        <w:rPr>
          <w:sz w:val="24"/>
          <w:szCs w:val="24"/>
        </w:rPr>
        <w:t>1023,6</w:t>
      </w:r>
      <w:r>
        <w:rPr>
          <w:sz w:val="24"/>
          <w:szCs w:val="24"/>
        </w:rPr>
        <w:t xml:space="preserve"> тыс. рублей и составят </w:t>
      </w:r>
      <w:r w:rsidR="00404037">
        <w:rPr>
          <w:sz w:val="24"/>
          <w:szCs w:val="24"/>
        </w:rPr>
        <w:t>4511,6</w:t>
      </w:r>
      <w:r w:rsidR="00E4781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 xml:space="preserve"> </w:t>
      </w:r>
      <w:r w:rsidR="00E47817">
        <w:rPr>
          <w:sz w:val="24"/>
          <w:szCs w:val="24"/>
        </w:rPr>
        <w:t xml:space="preserve">Ранее, </w:t>
      </w:r>
      <w:r w:rsidR="000159F3">
        <w:rPr>
          <w:sz w:val="24"/>
          <w:szCs w:val="24"/>
        </w:rPr>
        <w:t xml:space="preserve">утвержденные бюджетные назначения составили </w:t>
      </w:r>
      <w:r w:rsidR="00E47817">
        <w:rPr>
          <w:sz w:val="24"/>
          <w:szCs w:val="24"/>
        </w:rPr>
        <w:t xml:space="preserve"> 3488,0 тыс. рублей. В</w:t>
      </w:r>
      <w:r>
        <w:rPr>
          <w:sz w:val="24"/>
          <w:szCs w:val="24"/>
        </w:rPr>
        <w:t xml:space="preserve"> связи  с введением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режима функционирования «Повышенная готовность»  для предупреждения и  ликвидации чрезвычайной ситуации – подъема грунтовых вод в г. Тайшете и подтопления подвалов и п</w:t>
      </w:r>
      <w:r w:rsidR="00E47817">
        <w:rPr>
          <w:sz w:val="24"/>
          <w:szCs w:val="24"/>
        </w:rPr>
        <w:t xml:space="preserve">одпольев отдельных жилых домов. Настоящим проектом бюджетные ассигнования увеличиваются в связи с необходимостью выполнения дополнительных работ по прочистке водоотводных канав, кюветов.  </w:t>
      </w:r>
      <w:bookmarkStart w:id="0" w:name="_GoBack"/>
      <w:bookmarkEnd w:id="0"/>
      <w:r w:rsidR="00E47817">
        <w:rPr>
          <w:sz w:val="24"/>
          <w:szCs w:val="24"/>
        </w:rPr>
        <w:t xml:space="preserve"> На  указанные цели </w:t>
      </w:r>
      <w:r w:rsidR="00404037">
        <w:rPr>
          <w:sz w:val="24"/>
          <w:szCs w:val="24"/>
        </w:rPr>
        <w:t xml:space="preserve">  предоставл</w:t>
      </w:r>
      <w:r w:rsidR="00E47817">
        <w:rPr>
          <w:sz w:val="24"/>
          <w:szCs w:val="24"/>
        </w:rPr>
        <w:t>ена</w:t>
      </w:r>
      <w:r w:rsidR="00404037">
        <w:rPr>
          <w:sz w:val="24"/>
          <w:szCs w:val="24"/>
        </w:rPr>
        <w:t xml:space="preserve"> дотаци</w:t>
      </w:r>
      <w:r w:rsidR="00E47817">
        <w:rPr>
          <w:sz w:val="24"/>
          <w:szCs w:val="24"/>
        </w:rPr>
        <w:t>я</w:t>
      </w:r>
      <w:r w:rsidR="00404037">
        <w:rPr>
          <w:sz w:val="24"/>
          <w:szCs w:val="24"/>
        </w:rPr>
        <w:t xml:space="preserve"> на выравнивание уровня бюджетной обеспеченности поселений Иркутской области, входящих в состав </w:t>
      </w:r>
      <w:proofErr w:type="spellStart"/>
      <w:r w:rsidR="00404037">
        <w:rPr>
          <w:sz w:val="24"/>
          <w:szCs w:val="24"/>
        </w:rPr>
        <w:t>Тайшетского</w:t>
      </w:r>
      <w:proofErr w:type="spellEnd"/>
      <w:r w:rsidR="00404037">
        <w:rPr>
          <w:sz w:val="24"/>
          <w:szCs w:val="24"/>
        </w:rPr>
        <w:t xml:space="preserve"> района в сумме 959,6 тыс. рублей  </w:t>
      </w:r>
      <w:r>
        <w:rPr>
          <w:sz w:val="24"/>
          <w:szCs w:val="24"/>
        </w:rPr>
        <w:t xml:space="preserve">и в сумме </w:t>
      </w:r>
      <w:r w:rsidR="00404037">
        <w:rPr>
          <w:sz w:val="24"/>
          <w:szCs w:val="24"/>
        </w:rPr>
        <w:t>9,7</w:t>
      </w:r>
      <w:r>
        <w:rPr>
          <w:sz w:val="24"/>
          <w:szCs w:val="24"/>
        </w:rPr>
        <w:t xml:space="preserve"> тыс. рублей.</w:t>
      </w:r>
      <w:r w:rsidR="00E47817">
        <w:rPr>
          <w:sz w:val="24"/>
          <w:szCs w:val="24"/>
        </w:rPr>
        <w:t xml:space="preserve"> За счет </w:t>
      </w:r>
      <w:r w:rsidR="00747D8E">
        <w:rPr>
          <w:sz w:val="24"/>
          <w:szCs w:val="24"/>
        </w:rPr>
        <w:t xml:space="preserve">собственных </w:t>
      </w:r>
      <w:r w:rsidR="00E47817">
        <w:rPr>
          <w:sz w:val="24"/>
          <w:szCs w:val="24"/>
        </w:rPr>
        <w:t xml:space="preserve">средств местного бюджета запланировано </w:t>
      </w:r>
      <w:r w:rsidR="00F7313B">
        <w:rPr>
          <w:sz w:val="24"/>
          <w:szCs w:val="24"/>
        </w:rPr>
        <w:t>3141,0</w:t>
      </w:r>
      <w:r w:rsidR="00E47817">
        <w:rPr>
          <w:sz w:val="24"/>
          <w:szCs w:val="24"/>
        </w:rPr>
        <w:t xml:space="preserve"> тыс. рублей на ликвидацию последствий подтопления.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0159F3">
        <w:rPr>
          <w:b/>
          <w:sz w:val="24"/>
          <w:szCs w:val="24"/>
        </w:rPr>
        <w:t>По разделу 04</w:t>
      </w:r>
      <w:r w:rsidRPr="00E769DB">
        <w:rPr>
          <w:sz w:val="24"/>
          <w:szCs w:val="24"/>
        </w:rPr>
        <w:t xml:space="preserve"> «Национальная экономика»  расходы  </w:t>
      </w:r>
      <w:r>
        <w:rPr>
          <w:sz w:val="24"/>
          <w:szCs w:val="24"/>
        </w:rPr>
        <w:t xml:space="preserve">планируется увеличить на </w:t>
      </w:r>
      <w:r w:rsidR="0044777D">
        <w:rPr>
          <w:sz w:val="24"/>
          <w:szCs w:val="24"/>
        </w:rPr>
        <w:t>1153,1</w:t>
      </w:r>
      <w:r>
        <w:rPr>
          <w:sz w:val="24"/>
          <w:szCs w:val="24"/>
        </w:rPr>
        <w:t xml:space="preserve"> тыс. рублей, что </w:t>
      </w:r>
      <w:r w:rsidRPr="00E769DB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и</w:t>
      </w:r>
      <w:r w:rsidRPr="00E769DB">
        <w:rPr>
          <w:sz w:val="24"/>
          <w:szCs w:val="24"/>
        </w:rPr>
        <w:t xml:space="preserve">т  </w:t>
      </w:r>
      <w:r w:rsidR="0044777D">
        <w:rPr>
          <w:sz w:val="24"/>
          <w:szCs w:val="24"/>
        </w:rPr>
        <w:t>52059,7</w:t>
      </w:r>
      <w:r w:rsidRPr="00E769DB">
        <w:rPr>
          <w:sz w:val="24"/>
          <w:szCs w:val="24"/>
        </w:rPr>
        <w:t xml:space="preserve"> тыс. рублей, в том числе по подразделам: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выплаты на переданные полномочия Службы по тарифам Иркутской области без изменений составят 139,9 тыс. рублей. 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- 566,2 тыс. рублей.  </w:t>
      </w:r>
      <w:r w:rsidRPr="00305FD1">
        <w:rPr>
          <w:sz w:val="24"/>
          <w:szCs w:val="24"/>
        </w:rPr>
        <w:t>Внесение изменений не планируется.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  составят  без изменений 2469,0 тыс. рублей.  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</w:p>
    <w:p w:rsidR="00516CD4" w:rsidRDefault="00516CD4" w:rsidP="000E66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7AB">
        <w:rPr>
          <w:sz w:val="24"/>
          <w:szCs w:val="24"/>
        </w:rPr>
        <w:t>04</w:t>
      </w:r>
      <w:r>
        <w:rPr>
          <w:sz w:val="24"/>
          <w:szCs w:val="24"/>
        </w:rPr>
        <w:t xml:space="preserve">09  </w:t>
      </w:r>
      <w:r w:rsidRPr="009637AB">
        <w:rPr>
          <w:sz w:val="24"/>
          <w:szCs w:val="24"/>
        </w:rPr>
        <w:t xml:space="preserve"> «Дорожн</w:t>
      </w:r>
      <w:r>
        <w:rPr>
          <w:sz w:val="24"/>
          <w:szCs w:val="24"/>
        </w:rPr>
        <w:t>ое хозяйство</w:t>
      </w:r>
      <w:r w:rsidRPr="009637AB">
        <w:rPr>
          <w:sz w:val="24"/>
          <w:szCs w:val="24"/>
        </w:rPr>
        <w:t>»</w:t>
      </w:r>
      <w:r>
        <w:rPr>
          <w:sz w:val="24"/>
          <w:szCs w:val="24"/>
        </w:rPr>
        <w:t xml:space="preserve">  -  бюджетные ассигнования планируется увеличить на </w:t>
      </w:r>
      <w:r w:rsidR="0044777D">
        <w:rPr>
          <w:sz w:val="24"/>
          <w:szCs w:val="24"/>
        </w:rPr>
        <w:t>1899,9</w:t>
      </w:r>
      <w:r>
        <w:rPr>
          <w:sz w:val="24"/>
          <w:szCs w:val="24"/>
        </w:rPr>
        <w:t xml:space="preserve"> тыс. рублей  на текущее содержание улично-дорожной сети (в том числе расчистка кюветов, канав и др. работ по осушению)  бюджетному учреждению «Городское хозяйство».  Всего на дорожное хозяйство запланировано</w:t>
      </w:r>
      <w:r w:rsidR="00827B1B">
        <w:rPr>
          <w:sz w:val="24"/>
          <w:szCs w:val="24"/>
        </w:rPr>
        <w:t xml:space="preserve"> </w:t>
      </w:r>
      <w:r w:rsidR="0044777D">
        <w:rPr>
          <w:sz w:val="24"/>
          <w:szCs w:val="24"/>
        </w:rPr>
        <w:t>40616,2</w:t>
      </w:r>
      <w:r w:rsidR="00827B1B">
        <w:rPr>
          <w:sz w:val="24"/>
          <w:szCs w:val="24"/>
        </w:rPr>
        <w:t xml:space="preserve"> тыс. рублей, в том числе на реализацию мероприятий перечня народных инициатив 11954,8 тыс. рублей.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:  на выполнение муниципального задания  МБУ «Городское хозяйство» запланировано  </w:t>
      </w:r>
      <w:r w:rsidR="00A03A5E">
        <w:rPr>
          <w:sz w:val="24"/>
          <w:szCs w:val="24"/>
        </w:rPr>
        <w:t xml:space="preserve">всего </w:t>
      </w:r>
      <w:r w:rsidR="00A03A5E" w:rsidRPr="00A03A5E">
        <w:rPr>
          <w:sz w:val="24"/>
          <w:szCs w:val="24"/>
        </w:rPr>
        <w:t>27</w:t>
      </w:r>
      <w:r w:rsidR="000159F3">
        <w:rPr>
          <w:sz w:val="24"/>
          <w:szCs w:val="24"/>
        </w:rPr>
        <w:t> </w:t>
      </w:r>
      <w:r w:rsidR="00A03A5E" w:rsidRPr="00A03A5E">
        <w:rPr>
          <w:sz w:val="24"/>
          <w:szCs w:val="24"/>
        </w:rPr>
        <w:t>452</w:t>
      </w:r>
      <w:r w:rsidR="000159F3">
        <w:rPr>
          <w:sz w:val="24"/>
          <w:szCs w:val="24"/>
        </w:rPr>
        <w:t>,9 тыс.</w:t>
      </w:r>
      <w:r w:rsidRPr="00A03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44777D" w:rsidRDefault="0044777D" w:rsidP="000E6658">
      <w:pPr>
        <w:tabs>
          <w:tab w:val="left" w:pos="0"/>
        </w:tabs>
        <w:jc w:val="both"/>
        <w:rPr>
          <w:sz w:val="24"/>
          <w:szCs w:val="24"/>
        </w:rPr>
      </w:pPr>
    </w:p>
    <w:p w:rsidR="0044777D" w:rsidRDefault="0044777D" w:rsidP="000E66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3A5E" w:rsidRPr="009C5882">
        <w:rPr>
          <w:b/>
          <w:sz w:val="24"/>
          <w:szCs w:val="24"/>
        </w:rPr>
        <w:t>-п</w:t>
      </w:r>
      <w:r w:rsidRPr="009C5882">
        <w:rPr>
          <w:b/>
          <w:sz w:val="24"/>
          <w:szCs w:val="24"/>
        </w:rPr>
        <w:t>о подразделу 0412</w:t>
      </w:r>
      <w:r>
        <w:rPr>
          <w:sz w:val="24"/>
          <w:szCs w:val="24"/>
        </w:rPr>
        <w:t xml:space="preserve"> «Другие вопросы  в области национальной экономики планируется сократить на 746,8 тыс. рублей, что составит 8268,4 тыс. рублей, в том числе:</w:t>
      </w:r>
    </w:p>
    <w:p w:rsidR="0044777D" w:rsidRDefault="0044777D" w:rsidP="000E6658">
      <w:pPr>
        <w:tabs>
          <w:tab w:val="left" w:pos="0"/>
        </w:tabs>
        <w:jc w:val="both"/>
        <w:rPr>
          <w:sz w:val="24"/>
          <w:szCs w:val="24"/>
        </w:rPr>
      </w:pPr>
    </w:p>
    <w:p w:rsidR="00827B1B" w:rsidRDefault="00827B1B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77D">
        <w:rPr>
          <w:sz w:val="24"/>
          <w:szCs w:val="24"/>
        </w:rPr>
        <w:t>Сокращаются</w:t>
      </w:r>
      <w:r>
        <w:rPr>
          <w:sz w:val="24"/>
          <w:szCs w:val="24"/>
        </w:rPr>
        <w:t xml:space="preserve"> бюджетные ассигнования на следующие  мероприятия</w:t>
      </w:r>
      <w:r w:rsidR="0044777D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>:</w:t>
      </w:r>
    </w:p>
    <w:p w:rsidR="00827B1B" w:rsidRDefault="00827B1B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на МП «Обеспечение мер пожарной безопасности»  </w:t>
      </w:r>
      <w:r w:rsidR="0044777D">
        <w:rPr>
          <w:sz w:val="24"/>
          <w:szCs w:val="24"/>
        </w:rPr>
        <w:t xml:space="preserve">на сумму 184,0 тыс. рублей, что составит 493,0 </w:t>
      </w:r>
      <w:r>
        <w:rPr>
          <w:sz w:val="24"/>
          <w:szCs w:val="24"/>
        </w:rPr>
        <w:t xml:space="preserve"> тыс. рублей;</w:t>
      </w:r>
    </w:p>
    <w:p w:rsidR="00827B1B" w:rsidRDefault="00827B1B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МП «Профилактика терроризма и </w:t>
      </w:r>
      <w:proofErr w:type="spellStart"/>
      <w:r>
        <w:rPr>
          <w:sz w:val="24"/>
          <w:szCs w:val="24"/>
        </w:rPr>
        <w:t>экстримизма</w:t>
      </w:r>
      <w:proofErr w:type="spellEnd"/>
      <w:r>
        <w:rPr>
          <w:sz w:val="24"/>
          <w:szCs w:val="24"/>
        </w:rPr>
        <w:t xml:space="preserve">» </w:t>
      </w:r>
      <w:r w:rsidR="0044777D">
        <w:rPr>
          <w:sz w:val="24"/>
          <w:szCs w:val="24"/>
        </w:rPr>
        <w:t>на сумму 177,8 тыс. рублей</w:t>
      </w:r>
      <w:r w:rsidR="00747D8E">
        <w:rPr>
          <w:sz w:val="24"/>
          <w:szCs w:val="24"/>
        </w:rPr>
        <w:t>, что составит</w:t>
      </w:r>
      <w:r w:rsidR="0044777D">
        <w:rPr>
          <w:sz w:val="24"/>
          <w:szCs w:val="24"/>
        </w:rPr>
        <w:t xml:space="preserve"> </w:t>
      </w:r>
      <w:r w:rsidR="00747D8E">
        <w:rPr>
          <w:sz w:val="24"/>
          <w:szCs w:val="24"/>
        </w:rPr>
        <w:t>161,0</w:t>
      </w:r>
      <w:r>
        <w:rPr>
          <w:sz w:val="24"/>
          <w:szCs w:val="24"/>
        </w:rPr>
        <w:t xml:space="preserve"> тыс. рублей;</w:t>
      </w:r>
    </w:p>
    <w:p w:rsidR="00A03A5E" w:rsidRDefault="00827B1B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A5E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субсиди</w:t>
      </w:r>
      <w:r w:rsidR="00A03A5E">
        <w:rPr>
          <w:sz w:val="24"/>
          <w:szCs w:val="24"/>
        </w:rPr>
        <w:t>и</w:t>
      </w:r>
      <w:r>
        <w:rPr>
          <w:sz w:val="24"/>
          <w:szCs w:val="24"/>
        </w:rPr>
        <w:t xml:space="preserve"> на актуализацию документов территориального планирования – </w:t>
      </w:r>
      <w:r w:rsidR="00747D8E">
        <w:rPr>
          <w:sz w:val="24"/>
          <w:szCs w:val="24"/>
        </w:rPr>
        <w:t xml:space="preserve">сократится на 385,0 тыс. рублей </w:t>
      </w:r>
      <w:r w:rsidR="00A03A5E">
        <w:rPr>
          <w:sz w:val="24"/>
          <w:szCs w:val="24"/>
        </w:rPr>
        <w:t xml:space="preserve">в результате экономии на торгах </w:t>
      </w:r>
      <w:r w:rsidR="00747D8E">
        <w:rPr>
          <w:sz w:val="24"/>
          <w:szCs w:val="24"/>
        </w:rPr>
        <w:t>и составит 6592,4</w:t>
      </w:r>
      <w:r>
        <w:rPr>
          <w:sz w:val="24"/>
          <w:szCs w:val="24"/>
        </w:rPr>
        <w:t xml:space="preserve"> тыс. рублей.</w:t>
      </w:r>
      <w:r w:rsidR="00516CD4">
        <w:rPr>
          <w:sz w:val="24"/>
          <w:szCs w:val="24"/>
        </w:rPr>
        <w:tab/>
      </w:r>
    </w:p>
    <w:p w:rsidR="00A03A5E" w:rsidRDefault="00A03A5E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На МП «Социальная поддержка отдельных категорий населения и общественных организаций»  бюджетные ассигнования не изменятся и так же составят 710,5 тыс. рублей.</w:t>
      </w:r>
    </w:p>
    <w:p w:rsidR="00A03A5E" w:rsidRDefault="00A03A5E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МП «Разработка документов территориального планирования и градостроительной документации» </w:t>
      </w:r>
      <w:r w:rsidRPr="00A03A5E">
        <w:rPr>
          <w:sz w:val="24"/>
          <w:szCs w:val="24"/>
        </w:rPr>
        <w:t xml:space="preserve">бюджетные ассигнования не изменятся и составят </w:t>
      </w:r>
      <w:r>
        <w:rPr>
          <w:sz w:val="24"/>
          <w:szCs w:val="24"/>
        </w:rPr>
        <w:t>311,5</w:t>
      </w:r>
      <w:r w:rsidRPr="00A03A5E">
        <w:rPr>
          <w:sz w:val="24"/>
          <w:szCs w:val="24"/>
        </w:rPr>
        <w:t xml:space="preserve"> тыс. рублей.</w:t>
      </w:r>
    </w:p>
    <w:p w:rsidR="000E6658" w:rsidRDefault="000E6658" w:rsidP="000E6658">
      <w:pPr>
        <w:tabs>
          <w:tab w:val="left" w:pos="0"/>
        </w:tabs>
        <w:jc w:val="both"/>
        <w:rPr>
          <w:sz w:val="24"/>
          <w:szCs w:val="24"/>
        </w:rPr>
      </w:pPr>
    </w:p>
    <w:p w:rsidR="00516CD4" w:rsidRDefault="00516CD4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16CD4" w:rsidRDefault="00516CD4" w:rsidP="006C560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7608D">
        <w:rPr>
          <w:b/>
          <w:sz w:val="24"/>
          <w:szCs w:val="24"/>
        </w:rPr>
        <w:t>По разделу 05</w:t>
      </w:r>
      <w:r w:rsidRPr="00F1609F">
        <w:rPr>
          <w:sz w:val="24"/>
          <w:szCs w:val="24"/>
        </w:rPr>
        <w:t xml:space="preserve">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>
        <w:rPr>
          <w:sz w:val="24"/>
          <w:szCs w:val="24"/>
        </w:rPr>
        <w:t xml:space="preserve"> </w:t>
      </w:r>
      <w:r w:rsidR="006C5603">
        <w:rPr>
          <w:sz w:val="24"/>
          <w:szCs w:val="24"/>
        </w:rPr>
        <w:t xml:space="preserve">сокращены </w:t>
      </w:r>
      <w:r>
        <w:rPr>
          <w:sz w:val="24"/>
          <w:szCs w:val="24"/>
        </w:rPr>
        <w:t xml:space="preserve"> на </w:t>
      </w:r>
      <w:r w:rsidRPr="00F92D85">
        <w:rPr>
          <w:sz w:val="24"/>
          <w:szCs w:val="24"/>
        </w:rPr>
        <w:t xml:space="preserve"> сумму </w:t>
      </w:r>
      <w:r w:rsidR="006C5603">
        <w:rPr>
          <w:sz w:val="24"/>
          <w:szCs w:val="24"/>
        </w:rPr>
        <w:t>119,0</w:t>
      </w:r>
      <w:r>
        <w:rPr>
          <w:sz w:val="24"/>
          <w:szCs w:val="24"/>
        </w:rPr>
        <w:t xml:space="preserve"> тыс. рублей  и составят </w:t>
      </w:r>
      <w:r w:rsidR="006C5603">
        <w:rPr>
          <w:sz w:val="24"/>
          <w:szCs w:val="24"/>
        </w:rPr>
        <w:t>72384,6</w:t>
      </w:r>
      <w:r>
        <w:rPr>
          <w:sz w:val="24"/>
          <w:szCs w:val="24"/>
        </w:rPr>
        <w:t xml:space="preserve"> тыс. рублей, в том числе: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C7608D">
        <w:rPr>
          <w:b/>
          <w:sz w:val="24"/>
          <w:szCs w:val="24"/>
        </w:rPr>
        <w:t>По подразделу 0501</w:t>
      </w:r>
      <w:r>
        <w:rPr>
          <w:sz w:val="24"/>
          <w:szCs w:val="24"/>
        </w:rPr>
        <w:t xml:space="preserve"> «Жилищное хозяйство»  </w:t>
      </w:r>
      <w:r w:rsidR="006C5603">
        <w:rPr>
          <w:sz w:val="24"/>
          <w:szCs w:val="24"/>
        </w:rPr>
        <w:t xml:space="preserve">сократится </w:t>
      </w:r>
      <w:r>
        <w:rPr>
          <w:sz w:val="24"/>
          <w:szCs w:val="24"/>
        </w:rPr>
        <w:t xml:space="preserve"> сумма бюджетных ассигнований на </w:t>
      </w:r>
      <w:r w:rsidR="006C5603">
        <w:rPr>
          <w:sz w:val="24"/>
          <w:szCs w:val="24"/>
        </w:rPr>
        <w:t>102</w:t>
      </w:r>
      <w:r>
        <w:rPr>
          <w:sz w:val="24"/>
          <w:szCs w:val="24"/>
        </w:rPr>
        <w:t>,</w:t>
      </w:r>
      <w:r w:rsidR="009E09F1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тыс. рублей  и составит </w:t>
      </w:r>
      <w:r w:rsidR="006C5603">
        <w:rPr>
          <w:sz w:val="24"/>
          <w:szCs w:val="24"/>
        </w:rPr>
        <w:t>38978,5</w:t>
      </w:r>
      <w:r>
        <w:rPr>
          <w:sz w:val="24"/>
          <w:szCs w:val="24"/>
        </w:rPr>
        <w:t xml:space="preserve"> тыс. рублей, в том числе:</w:t>
      </w:r>
    </w:p>
    <w:p w:rsidR="009E09F1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603">
        <w:rPr>
          <w:sz w:val="24"/>
          <w:szCs w:val="24"/>
        </w:rPr>
        <w:t xml:space="preserve">сокращено </w:t>
      </w:r>
      <w:r>
        <w:rPr>
          <w:sz w:val="24"/>
          <w:szCs w:val="24"/>
        </w:rPr>
        <w:t xml:space="preserve"> на </w:t>
      </w:r>
      <w:r w:rsidR="006C5603">
        <w:rPr>
          <w:sz w:val="24"/>
          <w:szCs w:val="24"/>
        </w:rPr>
        <w:t>73,</w:t>
      </w:r>
      <w:r w:rsidR="009E09F1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 финансирование МП «Развитие и модернизация объектов коммунальной инфраструктуры», что составит </w:t>
      </w:r>
      <w:r w:rsidR="006C5603">
        <w:rPr>
          <w:sz w:val="24"/>
          <w:szCs w:val="24"/>
        </w:rPr>
        <w:t>1748,4</w:t>
      </w:r>
      <w:r>
        <w:rPr>
          <w:sz w:val="24"/>
          <w:szCs w:val="24"/>
        </w:rPr>
        <w:t xml:space="preserve"> тыс. рублей</w:t>
      </w:r>
      <w:r w:rsidR="009E09F1">
        <w:rPr>
          <w:sz w:val="24"/>
          <w:szCs w:val="24"/>
        </w:rPr>
        <w:t>. Тем самым сокращены расходы на  ремонт общего имущества многоквартирных домов. Это финансирование передвинуто на подраздел 0502 «Коммунальное хозяйство».</w:t>
      </w:r>
    </w:p>
    <w:p w:rsidR="00516CD4" w:rsidRDefault="006C5603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Сокращаются</w:t>
      </w:r>
      <w:r w:rsidR="00516C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бюджетные ассигнования </w:t>
      </w:r>
      <w:r w:rsidR="00516CD4">
        <w:rPr>
          <w:sz w:val="24"/>
          <w:szCs w:val="24"/>
        </w:rPr>
        <w:t xml:space="preserve">на реализацию муниципальной программы «Социальная поддержка населения и организаций» </w:t>
      </w:r>
      <w:r>
        <w:rPr>
          <w:sz w:val="24"/>
          <w:szCs w:val="24"/>
        </w:rPr>
        <w:t xml:space="preserve"> на </w:t>
      </w:r>
      <w:r w:rsidR="00516CD4">
        <w:rPr>
          <w:sz w:val="24"/>
          <w:szCs w:val="24"/>
        </w:rPr>
        <w:t xml:space="preserve"> </w:t>
      </w:r>
      <w:r>
        <w:rPr>
          <w:sz w:val="24"/>
          <w:szCs w:val="24"/>
        </w:rPr>
        <w:t>28,8</w:t>
      </w:r>
      <w:r w:rsidR="00516CD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что составит 221,2 тыс. рублей</w:t>
      </w:r>
      <w:r w:rsidR="00516CD4">
        <w:rPr>
          <w:sz w:val="24"/>
          <w:szCs w:val="24"/>
        </w:rPr>
        <w:t>.</w:t>
      </w:r>
      <w:r w:rsidRPr="006C5603">
        <w:t xml:space="preserve"> </w:t>
      </w:r>
      <w:r w:rsidRPr="006C5603">
        <w:rPr>
          <w:sz w:val="24"/>
          <w:szCs w:val="24"/>
        </w:rPr>
        <w:t xml:space="preserve">Внесение изменений планируется по мероприятию «Проведение текущего ремонта жилого помещения отдельным категориям граждан г. Тайшета»  (ветеранам). Ремонт произведен в 9-ти  жилых помещениях на сумму 221,2 тыс. рублей  </w:t>
      </w:r>
      <w:proofErr w:type="gramStart"/>
      <w:r w:rsidRPr="006C5603">
        <w:rPr>
          <w:sz w:val="24"/>
          <w:szCs w:val="24"/>
        </w:rPr>
        <w:t>при</w:t>
      </w:r>
      <w:proofErr w:type="gramEnd"/>
      <w:r w:rsidRPr="006C5603">
        <w:rPr>
          <w:sz w:val="24"/>
          <w:szCs w:val="24"/>
        </w:rPr>
        <w:t xml:space="preserve"> запланированных 250,0 тыс. рублей. Ввиду отсутствия заявок проводить ремонты в 2020 году больше не планируется. </w:t>
      </w:r>
    </w:p>
    <w:p w:rsidR="002C4264" w:rsidRPr="000A3824" w:rsidRDefault="002C426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изменений  останутся утвержденные бюджетные ассигнования по программе переселения граждан из аварийного жилья из </w:t>
      </w:r>
      <w:r w:rsidR="00C7608D">
        <w:rPr>
          <w:sz w:val="24"/>
          <w:szCs w:val="24"/>
        </w:rPr>
        <w:t>бюджетов</w:t>
      </w:r>
      <w:r w:rsidR="00C7608D">
        <w:rPr>
          <w:sz w:val="24"/>
          <w:szCs w:val="24"/>
        </w:rPr>
        <w:t xml:space="preserve"> </w:t>
      </w:r>
      <w:r>
        <w:rPr>
          <w:sz w:val="24"/>
          <w:szCs w:val="24"/>
        </w:rPr>
        <w:t>всех уровней в сумме 37008,9 тыс. рублей.</w:t>
      </w:r>
    </w:p>
    <w:p w:rsidR="006C5603" w:rsidRDefault="006C5603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C7608D">
        <w:rPr>
          <w:b/>
          <w:sz w:val="24"/>
          <w:szCs w:val="24"/>
        </w:rPr>
        <w:t>Подраздел 0502</w:t>
      </w:r>
      <w:r>
        <w:rPr>
          <w:sz w:val="24"/>
          <w:szCs w:val="24"/>
        </w:rPr>
        <w:t xml:space="preserve"> «Коммунальное хозяйство» увеличивается на </w:t>
      </w:r>
      <w:r w:rsidR="002C4264">
        <w:rPr>
          <w:sz w:val="24"/>
          <w:szCs w:val="24"/>
        </w:rPr>
        <w:t>73,6</w:t>
      </w:r>
      <w:r>
        <w:rPr>
          <w:sz w:val="24"/>
          <w:szCs w:val="24"/>
        </w:rPr>
        <w:t xml:space="preserve"> тыс.</w:t>
      </w:r>
      <w:r w:rsidR="002C4264">
        <w:rPr>
          <w:sz w:val="24"/>
          <w:szCs w:val="24"/>
        </w:rPr>
        <w:t xml:space="preserve"> рублей</w:t>
      </w:r>
      <w:r w:rsidR="00C7608D">
        <w:rPr>
          <w:sz w:val="24"/>
          <w:szCs w:val="24"/>
        </w:rPr>
        <w:t xml:space="preserve"> (передвижка с подраздела 0501)</w:t>
      </w:r>
      <w:r>
        <w:rPr>
          <w:sz w:val="24"/>
          <w:szCs w:val="24"/>
        </w:rPr>
        <w:t xml:space="preserve"> и составит  </w:t>
      </w:r>
      <w:r w:rsidR="002C4264">
        <w:rPr>
          <w:sz w:val="24"/>
          <w:szCs w:val="24"/>
        </w:rPr>
        <w:t>4997,5</w:t>
      </w:r>
      <w:r>
        <w:rPr>
          <w:sz w:val="24"/>
          <w:szCs w:val="24"/>
        </w:rPr>
        <w:t xml:space="preserve"> тыс. рублей, в том  числе: </w:t>
      </w:r>
    </w:p>
    <w:p w:rsidR="002C4264" w:rsidRDefault="00516CD4" w:rsidP="00516CD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увеличиваются бюджетные ассигнования на реализацию </w:t>
      </w:r>
      <w:r w:rsidRPr="002B5C04">
        <w:rPr>
          <w:sz w:val="24"/>
          <w:szCs w:val="24"/>
        </w:rPr>
        <w:t>МП «Развитие и модернизация объект</w:t>
      </w:r>
      <w:r>
        <w:rPr>
          <w:sz w:val="24"/>
          <w:szCs w:val="24"/>
        </w:rPr>
        <w:t xml:space="preserve">ов коммунальной инфраструктуры» на </w:t>
      </w:r>
      <w:r w:rsidR="002C4264">
        <w:rPr>
          <w:sz w:val="24"/>
          <w:szCs w:val="24"/>
        </w:rPr>
        <w:t>73,6</w:t>
      </w:r>
      <w:r>
        <w:rPr>
          <w:sz w:val="24"/>
          <w:szCs w:val="24"/>
        </w:rPr>
        <w:t xml:space="preserve"> тыс. рублей</w:t>
      </w:r>
      <w:r w:rsidR="009E09F1">
        <w:rPr>
          <w:sz w:val="24"/>
          <w:szCs w:val="24"/>
        </w:rPr>
        <w:t xml:space="preserve"> на услуги по очистке сточных вод южной части города</w:t>
      </w:r>
      <w:r>
        <w:rPr>
          <w:sz w:val="24"/>
          <w:szCs w:val="24"/>
        </w:rPr>
        <w:t xml:space="preserve">, что составит </w:t>
      </w:r>
      <w:r w:rsidR="009E09F1">
        <w:rPr>
          <w:sz w:val="24"/>
          <w:szCs w:val="24"/>
        </w:rPr>
        <w:t xml:space="preserve">по программе в этом подразделе </w:t>
      </w:r>
      <w:r w:rsidR="002C4264">
        <w:rPr>
          <w:sz w:val="24"/>
          <w:szCs w:val="24"/>
        </w:rPr>
        <w:t>4682,7</w:t>
      </w:r>
      <w:r>
        <w:rPr>
          <w:sz w:val="24"/>
          <w:szCs w:val="24"/>
        </w:rPr>
        <w:t xml:space="preserve"> тыс. рублей</w:t>
      </w:r>
      <w:r w:rsidR="00541B60">
        <w:rPr>
          <w:sz w:val="24"/>
          <w:szCs w:val="24"/>
        </w:rPr>
        <w:t xml:space="preserve"> (в том числе </w:t>
      </w:r>
      <w:r w:rsidR="00541B60" w:rsidRPr="00541B60">
        <w:rPr>
          <w:sz w:val="24"/>
          <w:szCs w:val="24"/>
        </w:rPr>
        <w:t>на проектно-сметную документацию канализационного коллектора по ул. Кирова224А в сумме 3646,9 тыс.</w:t>
      </w:r>
      <w:r w:rsidR="0076175B">
        <w:rPr>
          <w:sz w:val="24"/>
          <w:szCs w:val="24"/>
        </w:rPr>
        <w:t xml:space="preserve"> </w:t>
      </w:r>
      <w:r w:rsidR="00541B60" w:rsidRPr="00541B60">
        <w:rPr>
          <w:sz w:val="24"/>
          <w:szCs w:val="24"/>
        </w:rPr>
        <w:t>рублей</w:t>
      </w:r>
      <w:r w:rsidR="00541B60">
        <w:rPr>
          <w:sz w:val="24"/>
          <w:szCs w:val="24"/>
        </w:rPr>
        <w:t>)</w:t>
      </w:r>
      <w:r w:rsidR="002C4264">
        <w:rPr>
          <w:sz w:val="24"/>
          <w:szCs w:val="24"/>
        </w:rPr>
        <w:t>;</w:t>
      </w:r>
      <w:r w:rsidR="00522D27">
        <w:rPr>
          <w:sz w:val="24"/>
          <w:szCs w:val="24"/>
        </w:rPr>
        <w:t xml:space="preserve"> </w:t>
      </w:r>
      <w:proofErr w:type="gramEnd"/>
    </w:p>
    <w:p w:rsidR="00516CD4" w:rsidRDefault="009E09F1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</w:t>
      </w:r>
      <w:r w:rsidR="002C4264">
        <w:rPr>
          <w:sz w:val="24"/>
          <w:szCs w:val="24"/>
        </w:rPr>
        <w:t xml:space="preserve"> изменений останутся </w:t>
      </w:r>
      <w:r w:rsidR="00516CD4">
        <w:rPr>
          <w:sz w:val="24"/>
          <w:szCs w:val="24"/>
        </w:rPr>
        <w:t xml:space="preserve"> расходы по исполнительным документам на 314,9 тыс. рублей. </w:t>
      </w:r>
      <w:r w:rsidR="00516CD4" w:rsidRPr="002B5C04">
        <w:rPr>
          <w:sz w:val="24"/>
          <w:szCs w:val="24"/>
        </w:rPr>
        <w:t xml:space="preserve">На основании Определения арбитражного суда Иркутской области  установлено взыскать за счет казны </w:t>
      </w:r>
      <w:proofErr w:type="spellStart"/>
      <w:r w:rsidR="00516CD4" w:rsidRPr="002B5C04">
        <w:rPr>
          <w:sz w:val="24"/>
          <w:szCs w:val="24"/>
        </w:rPr>
        <w:t>Тайшетского</w:t>
      </w:r>
      <w:proofErr w:type="spellEnd"/>
      <w:r w:rsidR="00516CD4" w:rsidRPr="002B5C04">
        <w:rPr>
          <w:sz w:val="24"/>
          <w:szCs w:val="24"/>
        </w:rPr>
        <w:t xml:space="preserve"> городского поселения  в пользу ОАО «</w:t>
      </w:r>
      <w:r w:rsidR="00516CD4">
        <w:rPr>
          <w:sz w:val="24"/>
          <w:szCs w:val="24"/>
        </w:rPr>
        <w:t>РЖД</w:t>
      </w:r>
      <w:r w:rsidR="00516CD4" w:rsidRPr="002B5C04">
        <w:rPr>
          <w:sz w:val="24"/>
          <w:szCs w:val="24"/>
        </w:rPr>
        <w:t xml:space="preserve">» </w:t>
      </w:r>
      <w:r w:rsidR="002C4264">
        <w:rPr>
          <w:sz w:val="24"/>
          <w:szCs w:val="24"/>
        </w:rPr>
        <w:t xml:space="preserve"> ДТВ (</w:t>
      </w:r>
      <w:proofErr w:type="spellStart"/>
      <w:r w:rsidR="002C4264">
        <w:rPr>
          <w:sz w:val="24"/>
          <w:szCs w:val="24"/>
        </w:rPr>
        <w:t>электрокотельная</w:t>
      </w:r>
      <w:proofErr w:type="spellEnd"/>
      <w:r w:rsidR="002C4264">
        <w:rPr>
          <w:sz w:val="24"/>
          <w:szCs w:val="24"/>
        </w:rPr>
        <w:t xml:space="preserve"> 51 квартала)</w:t>
      </w:r>
      <w:r w:rsidR="00516CD4" w:rsidRPr="002B5C04">
        <w:rPr>
          <w:sz w:val="24"/>
          <w:szCs w:val="24"/>
        </w:rPr>
        <w:t xml:space="preserve"> возмещение убытков за потери </w:t>
      </w:r>
      <w:r w:rsidR="00516CD4">
        <w:rPr>
          <w:sz w:val="24"/>
          <w:szCs w:val="24"/>
        </w:rPr>
        <w:t xml:space="preserve"> тепловой </w:t>
      </w:r>
      <w:r w:rsidR="00516CD4" w:rsidRPr="002B5C04">
        <w:rPr>
          <w:sz w:val="24"/>
          <w:szCs w:val="24"/>
        </w:rPr>
        <w:t xml:space="preserve"> энергии</w:t>
      </w:r>
      <w:r w:rsidR="00516CD4">
        <w:rPr>
          <w:sz w:val="24"/>
          <w:szCs w:val="24"/>
        </w:rPr>
        <w:t xml:space="preserve"> в сумме 314,</w:t>
      </w:r>
      <w:r w:rsidR="002C4264">
        <w:rPr>
          <w:sz w:val="24"/>
          <w:szCs w:val="24"/>
        </w:rPr>
        <w:t>8</w:t>
      </w:r>
      <w:r w:rsidR="00516CD4">
        <w:rPr>
          <w:sz w:val="24"/>
          <w:szCs w:val="24"/>
        </w:rPr>
        <w:t xml:space="preserve"> тыс. рублей</w:t>
      </w:r>
      <w:r w:rsidR="00516CD4" w:rsidRPr="002B5C04">
        <w:rPr>
          <w:sz w:val="24"/>
          <w:szCs w:val="24"/>
        </w:rPr>
        <w:t>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Pr="00590FC2">
        <w:rPr>
          <w:sz w:val="24"/>
          <w:szCs w:val="24"/>
        </w:rPr>
        <w:t xml:space="preserve"> </w:t>
      </w:r>
      <w:r w:rsidRPr="00C7608D">
        <w:rPr>
          <w:b/>
          <w:sz w:val="24"/>
          <w:szCs w:val="24"/>
        </w:rPr>
        <w:t>Подраздел 0503</w:t>
      </w:r>
      <w:r w:rsidRPr="00590FC2">
        <w:rPr>
          <w:sz w:val="24"/>
          <w:szCs w:val="24"/>
        </w:rPr>
        <w:t xml:space="preserve"> «Благоустройство»</w:t>
      </w:r>
      <w:r>
        <w:rPr>
          <w:sz w:val="24"/>
          <w:szCs w:val="24"/>
        </w:rPr>
        <w:t xml:space="preserve"> планируется </w:t>
      </w:r>
      <w:r w:rsidR="002C4264">
        <w:rPr>
          <w:sz w:val="24"/>
          <w:szCs w:val="24"/>
        </w:rPr>
        <w:t xml:space="preserve">сократить </w:t>
      </w:r>
      <w:r>
        <w:rPr>
          <w:sz w:val="24"/>
          <w:szCs w:val="24"/>
        </w:rPr>
        <w:t xml:space="preserve">на </w:t>
      </w:r>
      <w:r w:rsidR="002C4264">
        <w:rPr>
          <w:sz w:val="24"/>
          <w:szCs w:val="24"/>
        </w:rPr>
        <w:t>90,1</w:t>
      </w:r>
      <w:r>
        <w:rPr>
          <w:sz w:val="24"/>
          <w:szCs w:val="24"/>
        </w:rPr>
        <w:t xml:space="preserve"> тыс. рублей,  что составит </w:t>
      </w:r>
      <w:r w:rsidR="002C4264">
        <w:rPr>
          <w:sz w:val="24"/>
          <w:szCs w:val="24"/>
        </w:rPr>
        <w:t>28408,6</w:t>
      </w:r>
      <w:r>
        <w:rPr>
          <w:sz w:val="24"/>
          <w:szCs w:val="24"/>
        </w:rPr>
        <w:t xml:space="preserve"> тыс. рублей, в том числе: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финансирование на реализацию МП «Содержание имущества казны» </w:t>
      </w:r>
      <w:r w:rsidR="002C4264">
        <w:rPr>
          <w:sz w:val="24"/>
          <w:szCs w:val="24"/>
        </w:rPr>
        <w:t xml:space="preserve">без изменений </w:t>
      </w:r>
      <w:r>
        <w:rPr>
          <w:sz w:val="24"/>
          <w:szCs w:val="24"/>
        </w:rPr>
        <w:t>состав</w:t>
      </w:r>
      <w:r w:rsidR="002C4264">
        <w:rPr>
          <w:sz w:val="24"/>
          <w:szCs w:val="24"/>
        </w:rPr>
        <w:t>ит 644,8 тыс. рублей;</w:t>
      </w:r>
      <w:r>
        <w:rPr>
          <w:sz w:val="24"/>
          <w:szCs w:val="24"/>
        </w:rPr>
        <w:t xml:space="preserve"> </w:t>
      </w:r>
    </w:p>
    <w:p w:rsidR="002C4264" w:rsidRDefault="00516CD4" w:rsidP="002C4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финансирование на МП «Благоустройство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</w:t>
      </w:r>
      <w:r w:rsidR="002C4264">
        <w:rPr>
          <w:sz w:val="24"/>
          <w:szCs w:val="24"/>
        </w:rPr>
        <w:t>не изменится и составит 6928,5 тыс. рублей;</w:t>
      </w:r>
    </w:p>
    <w:p w:rsidR="000A20D1" w:rsidRDefault="000A20D1" w:rsidP="002C4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МП «Развитие и модернизация объектов коммунальной инфраструктуры» по-прежнему запланировано 506,0 тыс. рублей;</w:t>
      </w:r>
    </w:p>
    <w:p w:rsidR="008E0EF2" w:rsidRDefault="000A20D1" w:rsidP="000A20D1">
      <w:pPr>
        <w:ind w:firstLine="708"/>
        <w:jc w:val="both"/>
        <w:rPr>
          <w:sz w:val="24"/>
          <w:szCs w:val="24"/>
        </w:rPr>
      </w:pPr>
      <w:r w:rsidRPr="00666EAE">
        <w:rPr>
          <w:sz w:val="24"/>
          <w:szCs w:val="24"/>
        </w:rPr>
        <w:t xml:space="preserve">- </w:t>
      </w:r>
      <w:r w:rsidR="009B796F" w:rsidRPr="00666EAE">
        <w:rPr>
          <w:sz w:val="24"/>
          <w:szCs w:val="24"/>
        </w:rPr>
        <w:t>с</w:t>
      </w:r>
      <w:r w:rsidRPr="00666EAE">
        <w:rPr>
          <w:sz w:val="24"/>
          <w:szCs w:val="24"/>
        </w:rPr>
        <w:t xml:space="preserve">окращаются  бюджетные ассигнования </w:t>
      </w:r>
      <w:proofErr w:type="spellStart"/>
      <w:r w:rsidRPr="00666EAE">
        <w:rPr>
          <w:sz w:val="24"/>
          <w:szCs w:val="24"/>
        </w:rPr>
        <w:t>софинансирования</w:t>
      </w:r>
      <w:proofErr w:type="spellEnd"/>
      <w:r w:rsidRPr="00666EAE">
        <w:rPr>
          <w:sz w:val="24"/>
          <w:szCs w:val="24"/>
        </w:rPr>
        <w:t xml:space="preserve"> из  местного бюджета по МП «Формировани</w:t>
      </w:r>
      <w:r w:rsidR="009B796F" w:rsidRPr="00666EAE">
        <w:rPr>
          <w:sz w:val="24"/>
          <w:szCs w:val="24"/>
        </w:rPr>
        <w:t>е</w:t>
      </w:r>
      <w:r w:rsidRPr="00666EAE">
        <w:rPr>
          <w:sz w:val="24"/>
          <w:szCs w:val="24"/>
        </w:rPr>
        <w:t xml:space="preserve"> комфортной городской среды»  на 90,1 тыс. рублей</w:t>
      </w:r>
      <w:r w:rsidR="009B796F" w:rsidRPr="00666EAE">
        <w:rPr>
          <w:sz w:val="24"/>
          <w:szCs w:val="24"/>
        </w:rPr>
        <w:t xml:space="preserve"> </w:t>
      </w:r>
      <w:r w:rsidR="00E84F97">
        <w:rPr>
          <w:sz w:val="24"/>
          <w:szCs w:val="24"/>
        </w:rPr>
        <w:t>в результате</w:t>
      </w:r>
      <w:r w:rsidR="009B796F" w:rsidRPr="00666EAE">
        <w:rPr>
          <w:sz w:val="24"/>
          <w:szCs w:val="24"/>
        </w:rPr>
        <w:t xml:space="preserve"> экономи</w:t>
      </w:r>
      <w:r w:rsidR="00E84F97">
        <w:rPr>
          <w:sz w:val="24"/>
          <w:szCs w:val="24"/>
        </w:rPr>
        <w:t>и  на торгах</w:t>
      </w:r>
      <w:r w:rsidR="009B796F" w:rsidRPr="00666EAE">
        <w:rPr>
          <w:sz w:val="24"/>
          <w:szCs w:val="24"/>
        </w:rPr>
        <w:t xml:space="preserve"> по работам </w:t>
      </w:r>
      <w:r w:rsidR="000A512D" w:rsidRPr="00666EAE">
        <w:rPr>
          <w:sz w:val="24"/>
          <w:szCs w:val="24"/>
        </w:rPr>
        <w:t>на дворовых территориях</w:t>
      </w:r>
      <w:r w:rsidRPr="00666EAE">
        <w:rPr>
          <w:sz w:val="24"/>
          <w:szCs w:val="24"/>
        </w:rPr>
        <w:t>, что составит  в сумме 1199,7 тыс. рублей</w:t>
      </w:r>
      <w:r w:rsidR="008E0EF2">
        <w:rPr>
          <w:sz w:val="24"/>
          <w:szCs w:val="24"/>
        </w:rPr>
        <w:t>;</w:t>
      </w:r>
    </w:p>
    <w:p w:rsidR="00C7608D" w:rsidRDefault="00C7608D" w:rsidP="000A2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Без изменений  утверждаются бюджетные ассигнования, направленные на благоустройство в рамках программы современной городской среды  (м-н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11,12,13; ул. 8 Марта</w:t>
      </w:r>
      <w:r w:rsidR="008E0EF2">
        <w:rPr>
          <w:sz w:val="24"/>
          <w:szCs w:val="24"/>
        </w:rPr>
        <w:t>,</w:t>
      </w:r>
      <w:r>
        <w:rPr>
          <w:sz w:val="24"/>
          <w:szCs w:val="24"/>
        </w:rPr>
        <w:t>10</w:t>
      </w:r>
      <w:r w:rsidR="008E0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Гагарина ,96; </w:t>
      </w:r>
      <w:r w:rsidR="008E0EF2">
        <w:rPr>
          <w:sz w:val="24"/>
          <w:szCs w:val="24"/>
        </w:rPr>
        <w:t xml:space="preserve"> ул. 8 Марта, 8 – Транспортная, 97)</w:t>
      </w:r>
      <w:r>
        <w:rPr>
          <w:sz w:val="24"/>
          <w:szCs w:val="24"/>
        </w:rPr>
        <w:t xml:space="preserve"> </w:t>
      </w:r>
      <w:r w:rsidR="00E84F97">
        <w:rPr>
          <w:sz w:val="24"/>
          <w:szCs w:val="24"/>
        </w:rPr>
        <w:t>в сумме</w:t>
      </w:r>
      <w:r w:rsidR="008E0EF2">
        <w:rPr>
          <w:sz w:val="24"/>
          <w:szCs w:val="24"/>
        </w:rPr>
        <w:t xml:space="preserve"> 16681,9 тыс. рублей;</w:t>
      </w:r>
    </w:p>
    <w:p w:rsidR="008E0EF2" w:rsidRPr="00666EAE" w:rsidRDefault="008E0EF2" w:rsidP="000A2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 изменений утверждаются бюджетные ассигнования  на мероприятия МП «Повышение безопасности дорожного движения» в сумме 766,0 тыс. рублей.</w:t>
      </w:r>
    </w:p>
    <w:p w:rsidR="00516CD4" w:rsidRPr="00CB67F1" w:rsidRDefault="009B796F" w:rsidP="009B796F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прежнем уровне утверждаются </w:t>
      </w:r>
      <w:r w:rsidR="00516CD4">
        <w:rPr>
          <w:sz w:val="24"/>
          <w:szCs w:val="24"/>
        </w:rPr>
        <w:t xml:space="preserve"> непрограммные расходы -  уплата прочих налогов, сборов, штрафов </w:t>
      </w:r>
      <w:r>
        <w:rPr>
          <w:sz w:val="24"/>
          <w:szCs w:val="24"/>
        </w:rPr>
        <w:t xml:space="preserve">по исполнительному листу </w:t>
      </w:r>
      <w:r w:rsidR="00516CD4">
        <w:rPr>
          <w:sz w:val="24"/>
          <w:szCs w:val="24"/>
        </w:rPr>
        <w:t xml:space="preserve">–1681,7 тыс. рублей. На основании Определения арбитражного суда Иркутской области  установлено взыскать за счет казны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 в пользу ОАО «</w:t>
      </w:r>
      <w:proofErr w:type="spellStart"/>
      <w:r w:rsidR="00516CD4">
        <w:rPr>
          <w:sz w:val="24"/>
          <w:szCs w:val="24"/>
        </w:rPr>
        <w:t>Иркутскэнергосбыт</w:t>
      </w:r>
      <w:proofErr w:type="spellEnd"/>
      <w:r w:rsidR="00516CD4">
        <w:rPr>
          <w:sz w:val="24"/>
          <w:szCs w:val="24"/>
        </w:rPr>
        <w:t>»  возмещение убытков за потери электрической энергии.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разделу 0605</w:t>
      </w:r>
      <w:r>
        <w:rPr>
          <w:sz w:val="24"/>
          <w:szCs w:val="24"/>
        </w:rPr>
        <w:t xml:space="preserve"> «Охрана окружающей среды» </w:t>
      </w:r>
      <w:r w:rsidR="00C43B23">
        <w:rPr>
          <w:sz w:val="24"/>
          <w:szCs w:val="24"/>
        </w:rPr>
        <w:t xml:space="preserve">в прежнем объеме </w:t>
      </w:r>
      <w:r>
        <w:rPr>
          <w:sz w:val="24"/>
          <w:szCs w:val="24"/>
        </w:rPr>
        <w:t xml:space="preserve"> предусмотрены бюджетные ассигнования за счет субсидии из областного и местного  бюджета за 2019 год  в сумме 461,8 тыс. рублей на обустройство мест накопления ТКО.</w:t>
      </w:r>
      <w:r w:rsidR="0076175B">
        <w:rPr>
          <w:sz w:val="24"/>
          <w:szCs w:val="24"/>
        </w:rPr>
        <w:t xml:space="preserve"> Работы оплачены  в августе текущего года.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 xml:space="preserve">  По разделу 07</w:t>
      </w:r>
      <w:r w:rsidRPr="00F92D85">
        <w:rPr>
          <w:sz w:val="24"/>
          <w:szCs w:val="24"/>
        </w:rPr>
        <w:t xml:space="preserve"> «Образование» бюджетные ассигнования </w:t>
      </w:r>
      <w:r w:rsidR="0076175B">
        <w:rPr>
          <w:sz w:val="24"/>
          <w:szCs w:val="24"/>
        </w:rPr>
        <w:t xml:space="preserve">по-прежнему утверждаются в сумме </w:t>
      </w:r>
      <w:r w:rsidRPr="00F92D85">
        <w:rPr>
          <w:sz w:val="24"/>
          <w:szCs w:val="24"/>
        </w:rPr>
        <w:t xml:space="preserve"> </w:t>
      </w:r>
      <w:r w:rsidR="000518A9">
        <w:rPr>
          <w:sz w:val="24"/>
          <w:szCs w:val="24"/>
        </w:rPr>
        <w:t>439</w:t>
      </w:r>
      <w:r w:rsidRPr="00F92D85">
        <w:rPr>
          <w:sz w:val="24"/>
          <w:szCs w:val="24"/>
        </w:rPr>
        <w:t>,0 тыс. рублей.</w:t>
      </w:r>
      <w:r>
        <w:rPr>
          <w:sz w:val="24"/>
          <w:szCs w:val="24"/>
        </w:rPr>
        <w:t xml:space="preserve"> </w:t>
      </w:r>
      <w:r w:rsidR="000518A9">
        <w:rPr>
          <w:sz w:val="24"/>
          <w:szCs w:val="24"/>
        </w:rPr>
        <w:t xml:space="preserve"> </w:t>
      </w:r>
      <w:r w:rsidR="0076175B">
        <w:rPr>
          <w:sz w:val="24"/>
          <w:szCs w:val="24"/>
        </w:rPr>
        <w:t>Ранее мероприятия были сокращены</w:t>
      </w:r>
      <w:r w:rsidR="000518A9">
        <w:rPr>
          <w:sz w:val="24"/>
          <w:szCs w:val="24"/>
        </w:rPr>
        <w:t xml:space="preserve"> за счет не проведенных мероприятий</w:t>
      </w:r>
      <w:r w:rsidR="0076175B">
        <w:rPr>
          <w:sz w:val="24"/>
          <w:szCs w:val="24"/>
        </w:rPr>
        <w:t xml:space="preserve"> с детьми и молодежью</w:t>
      </w:r>
      <w:r w:rsidR="000518A9">
        <w:rPr>
          <w:sz w:val="24"/>
          <w:szCs w:val="24"/>
        </w:rPr>
        <w:t xml:space="preserve"> в период </w:t>
      </w:r>
      <w:r w:rsidR="0076175B">
        <w:rPr>
          <w:sz w:val="24"/>
          <w:szCs w:val="24"/>
        </w:rPr>
        <w:t xml:space="preserve">распространения </w:t>
      </w:r>
      <w:r w:rsidR="000518A9">
        <w:rPr>
          <w:sz w:val="24"/>
          <w:szCs w:val="24"/>
        </w:rPr>
        <w:t>пандемии.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76175B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 xml:space="preserve">По разделу 08 </w:t>
      </w:r>
      <w:r w:rsidRPr="00F92D85">
        <w:rPr>
          <w:sz w:val="24"/>
          <w:szCs w:val="24"/>
        </w:rPr>
        <w:t xml:space="preserve">«Культура»   бюджетные  ассигнования  </w:t>
      </w:r>
      <w:r w:rsidR="0076175B">
        <w:rPr>
          <w:sz w:val="24"/>
          <w:szCs w:val="24"/>
        </w:rPr>
        <w:t xml:space="preserve">утверждаются </w:t>
      </w:r>
      <w:r w:rsidR="000518A9">
        <w:rPr>
          <w:sz w:val="24"/>
          <w:szCs w:val="24"/>
        </w:rPr>
        <w:t xml:space="preserve"> </w:t>
      </w:r>
      <w:r w:rsidR="0076175B">
        <w:rPr>
          <w:sz w:val="24"/>
          <w:szCs w:val="24"/>
        </w:rPr>
        <w:t>так же в сумме</w:t>
      </w:r>
      <w:r>
        <w:rPr>
          <w:sz w:val="24"/>
          <w:szCs w:val="24"/>
        </w:rPr>
        <w:t xml:space="preserve">  </w:t>
      </w:r>
      <w:r w:rsidR="000518A9">
        <w:rPr>
          <w:sz w:val="24"/>
          <w:szCs w:val="24"/>
        </w:rPr>
        <w:t>18011,8</w:t>
      </w:r>
      <w:r w:rsidR="0076175B">
        <w:rPr>
          <w:sz w:val="24"/>
          <w:szCs w:val="24"/>
        </w:rPr>
        <w:t xml:space="preserve"> тыс. рублей</w:t>
      </w:r>
      <w:r w:rsidR="00E37F27">
        <w:rPr>
          <w:sz w:val="24"/>
          <w:szCs w:val="24"/>
        </w:rPr>
        <w:t>, в том числе на содержание библиотеки – 16466,8 тыс. рублей</w:t>
      </w:r>
      <w:r w:rsidR="0076175B">
        <w:rPr>
          <w:sz w:val="24"/>
          <w:szCs w:val="24"/>
        </w:rPr>
        <w:t>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разделу 10</w:t>
      </w:r>
      <w:r w:rsidRPr="00F92D85">
        <w:rPr>
          <w:sz w:val="24"/>
          <w:szCs w:val="24"/>
        </w:rPr>
        <w:t xml:space="preserve"> «Социальная политика» </w:t>
      </w:r>
      <w:r>
        <w:rPr>
          <w:sz w:val="24"/>
          <w:szCs w:val="24"/>
        </w:rPr>
        <w:t xml:space="preserve">бюджетные ассигнования </w:t>
      </w:r>
      <w:r w:rsidR="0076175B">
        <w:rPr>
          <w:sz w:val="24"/>
          <w:szCs w:val="24"/>
        </w:rPr>
        <w:t>утверждаются в предыдущей редакции</w:t>
      </w:r>
      <w:r w:rsidR="00E37F27">
        <w:rPr>
          <w:sz w:val="24"/>
          <w:szCs w:val="24"/>
        </w:rPr>
        <w:t xml:space="preserve">  в сумме 14740,9 тыс. рублей в том числе: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344">
        <w:rPr>
          <w:sz w:val="24"/>
          <w:szCs w:val="24"/>
        </w:rPr>
        <w:t xml:space="preserve"> </w:t>
      </w:r>
      <w:r w:rsidR="001A1D69" w:rsidRPr="001A1D69">
        <w:rPr>
          <w:b/>
          <w:sz w:val="24"/>
          <w:szCs w:val="24"/>
        </w:rPr>
        <w:t>по подразделу 1001</w:t>
      </w:r>
      <w:r w:rsidR="001A1D69">
        <w:rPr>
          <w:sz w:val="24"/>
          <w:szCs w:val="24"/>
        </w:rPr>
        <w:t xml:space="preserve"> </w:t>
      </w:r>
      <w:r w:rsidR="00404344">
        <w:rPr>
          <w:sz w:val="24"/>
          <w:szCs w:val="24"/>
        </w:rPr>
        <w:t>на  пенсионное обеспечение  (доплата к пенсии за выслугу лет)  в сумме 4920,0 тыс. рублей</w:t>
      </w:r>
      <w:r w:rsidR="00B125BF">
        <w:rPr>
          <w:sz w:val="24"/>
          <w:szCs w:val="24"/>
        </w:rPr>
        <w:t>;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1D69" w:rsidRPr="001A1D69">
        <w:rPr>
          <w:b/>
          <w:sz w:val="24"/>
          <w:szCs w:val="24"/>
        </w:rPr>
        <w:t>по подразделу 1003</w:t>
      </w:r>
      <w:r w:rsidR="001A1D69">
        <w:rPr>
          <w:sz w:val="24"/>
          <w:szCs w:val="24"/>
        </w:rPr>
        <w:t xml:space="preserve"> </w:t>
      </w:r>
      <w:r>
        <w:rPr>
          <w:sz w:val="24"/>
          <w:szCs w:val="24"/>
        </w:rPr>
        <w:t>на социальное обеспечение населения – 9820,0 тыс. рублей, в том числе:</w:t>
      </w:r>
    </w:p>
    <w:p w:rsidR="00E37F27" w:rsidRDefault="001A1D69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5BF">
        <w:rPr>
          <w:sz w:val="24"/>
          <w:szCs w:val="24"/>
        </w:rPr>
        <w:t xml:space="preserve"> на программу «Молодым семьям – доступное жилье»  из бюджетов всех уровней – 8868,9 тыс. рублей;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5BF">
        <w:rPr>
          <w:sz w:val="24"/>
          <w:szCs w:val="24"/>
        </w:rPr>
        <w:t xml:space="preserve"> на МП «Социальная поддержка отдельных категорий населения и общественных организаций»  в сумме 700,0 тыс. рублей</w:t>
      </w:r>
      <w:r>
        <w:rPr>
          <w:sz w:val="24"/>
          <w:szCs w:val="24"/>
        </w:rPr>
        <w:t>;</w:t>
      </w:r>
    </w:p>
    <w:p w:rsidR="00404344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МП Поощрение граждан, организаций за высокие показатели в общественно-полезной деятельности» - 252,0 тыс. рублей.</w:t>
      </w:r>
    </w:p>
    <w:p w:rsidR="00404344" w:rsidRDefault="00404344" w:rsidP="00516CD4">
      <w:pPr>
        <w:ind w:firstLine="708"/>
        <w:jc w:val="both"/>
        <w:rPr>
          <w:sz w:val="24"/>
          <w:szCs w:val="24"/>
        </w:rPr>
      </w:pPr>
    </w:p>
    <w:p w:rsidR="00B07A70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разделу 11</w:t>
      </w:r>
      <w:r w:rsidRPr="00F92D85">
        <w:rPr>
          <w:sz w:val="24"/>
          <w:szCs w:val="24"/>
        </w:rPr>
        <w:t xml:space="preserve"> «Физическая культура и спорт»</w:t>
      </w:r>
      <w:r>
        <w:rPr>
          <w:sz w:val="24"/>
          <w:szCs w:val="24"/>
        </w:rPr>
        <w:t xml:space="preserve">    объем финансирования </w:t>
      </w:r>
      <w:r w:rsidR="00E37F27">
        <w:rPr>
          <w:sz w:val="24"/>
          <w:szCs w:val="24"/>
        </w:rPr>
        <w:t xml:space="preserve">утверждается на прежнем уровне </w:t>
      </w:r>
      <w:r w:rsidR="00300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 составит </w:t>
      </w:r>
      <w:r w:rsidR="0030004E">
        <w:rPr>
          <w:sz w:val="24"/>
          <w:szCs w:val="24"/>
        </w:rPr>
        <w:t>13947,1</w:t>
      </w:r>
      <w:r>
        <w:rPr>
          <w:sz w:val="24"/>
          <w:szCs w:val="24"/>
        </w:rPr>
        <w:t xml:space="preserve"> тыс. рублей, в том числе</w:t>
      </w:r>
      <w:r w:rsidR="00B07A70">
        <w:rPr>
          <w:sz w:val="24"/>
          <w:szCs w:val="24"/>
        </w:rPr>
        <w:t>:</w:t>
      </w:r>
    </w:p>
    <w:p w:rsidR="00E37F27" w:rsidRDefault="00B07A70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6CD4">
        <w:rPr>
          <w:sz w:val="24"/>
          <w:szCs w:val="24"/>
        </w:rPr>
        <w:t xml:space="preserve"> на МКУ КСЦ «Сибирь»</w:t>
      </w:r>
      <w:r>
        <w:rPr>
          <w:sz w:val="24"/>
          <w:szCs w:val="24"/>
        </w:rPr>
        <w:t xml:space="preserve"> утверждено бюджетных ассигнований на сумму</w:t>
      </w:r>
      <w:r w:rsidR="00516CD4">
        <w:rPr>
          <w:sz w:val="24"/>
          <w:szCs w:val="24"/>
        </w:rPr>
        <w:t xml:space="preserve"> </w:t>
      </w:r>
      <w:r w:rsidR="0030004E">
        <w:rPr>
          <w:sz w:val="24"/>
          <w:szCs w:val="24"/>
        </w:rPr>
        <w:t>12271,6</w:t>
      </w:r>
      <w:r w:rsidR="00516CD4">
        <w:rPr>
          <w:sz w:val="24"/>
          <w:szCs w:val="24"/>
        </w:rPr>
        <w:t xml:space="preserve"> тыс. рублей, в том числе на выплаты персоналу </w:t>
      </w:r>
      <w:r w:rsidR="0030004E">
        <w:rPr>
          <w:sz w:val="24"/>
          <w:szCs w:val="24"/>
        </w:rPr>
        <w:t>11031,0</w:t>
      </w:r>
      <w:r w:rsidR="00E37F27">
        <w:rPr>
          <w:sz w:val="24"/>
          <w:szCs w:val="24"/>
        </w:rPr>
        <w:t xml:space="preserve"> тыс. рублей;</w:t>
      </w:r>
      <w:r w:rsidR="0030004E">
        <w:rPr>
          <w:sz w:val="24"/>
          <w:szCs w:val="24"/>
        </w:rPr>
        <w:t xml:space="preserve"> </w:t>
      </w:r>
    </w:p>
    <w:p w:rsidR="00516CD4" w:rsidRDefault="00B07A70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реализацию МП «</w:t>
      </w:r>
      <w:r w:rsidR="001A1D69">
        <w:rPr>
          <w:sz w:val="24"/>
          <w:szCs w:val="24"/>
        </w:rPr>
        <w:t xml:space="preserve">Развитие  физической </w:t>
      </w:r>
      <w:r>
        <w:rPr>
          <w:sz w:val="24"/>
          <w:szCs w:val="24"/>
        </w:rPr>
        <w:t xml:space="preserve">культуры и спорта» </w:t>
      </w:r>
      <w:r w:rsidR="00E37F27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составят 1675,5 тыс. рублей. </w:t>
      </w:r>
    </w:p>
    <w:p w:rsidR="00E46C1D" w:rsidRDefault="001A1D69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подразделу 1301</w:t>
      </w:r>
      <w:r>
        <w:rPr>
          <w:sz w:val="24"/>
          <w:szCs w:val="24"/>
        </w:rPr>
        <w:t xml:space="preserve"> </w:t>
      </w:r>
      <w:r w:rsidR="00E46C1D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0,6 тыс. рублей.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городского поселения от 28.11.2019 г. № 131 «О бюджете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Pr="00C91D0A">
        <w:rPr>
          <w:sz w:val="24"/>
          <w:szCs w:val="24"/>
        </w:rPr>
        <w:t>Тайшетское</w:t>
      </w:r>
      <w:proofErr w:type="spellEnd"/>
      <w:r w:rsidRPr="00C91D0A">
        <w:rPr>
          <w:sz w:val="24"/>
          <w:szCs w:val="24"/>
        </w:rPr>
        <w:t xml:space="preserve">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</w:t>
      </w:r>
      <w:r w:rsidRPr="00F63807">
        <w:rPr>
          <w:sz w:val="24"/>
          <w:szCs w:val="24"/>
        </w:rPr>
        <w:lastRenderedPageBreak/>
        <w:t xml:space="preserve">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535A56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4E2F9C" w:rsidRDefault="00535A56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16CD4">
        <w:rPr>
          <w:sz w:val="24"/>
          <w:szCs w:val="24"/>
        </w:rPr>
        <w:t xml:space="preserve">2. </w:t>
      </w:r>
      <w:r w:rsidR="00516CD4" w:rsidRPr="004E2F9C">
        <w:rPr>
          <w:sz w:val="24"/>
          <w:szCs w:val="24"/>
        </w:rPr>
        <w:t xml:space="preserve">Проектом Решения планируется изменение основных характеристик бюджета </w:t>
      </w:r>
      <w:proofErr w:type="spellStart"/>
      <w:r w:rsidR="00516CD4" w:rsidRPr="004E2F9C">
        <w:rPr>
          <w:sz w:val="24"/>
          <w:szCs w:val="24"/>
        </w:rPr>
        <w:t>Тайшетского</w:t>
      </w:r>
      <w:proofErr w:type="spellEnd"/>
      <w:r w:rsidR="00516CD4" w:rsidRPr="004E2F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4E2F9C">
        <w:rPr>
          <w:sz w:val="24"/>
          <w:szCs w:val="24"/>
        </w:rPr>
        <w:t>Тайшетское</w:t>
      </w:r>
      <w:proofErr w:type="spellEnd"/>
      <w:r w:rsidR="00516CD4" w:rsidRPr="004E2F9C">
        <w:rPr>
          <w:sz w:val="24"/>
          <w:szCs w:val="24"/>
        </w:rPr>
        <w:t xml:space="preserve"> городское поселение» на 2020 год:</w:t>
      </w:r>
    </w:p>
    <w:p w:rsidR="00E26963" w:rsidRPr="00E26963" w:rsidRDefault="00E26963" w:rsidP="00E2696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6963">
        <w:rPr>
          <w:sz w:val="24"/>
          <w:szCs w:val="24"/>
        </w:rPr>
        <w:t>- общий объем доходов в сумме   232412,3 тыс. рублей, что выше ранее утвержденного показателя на 2420,1 тыс. рублей,  или на  1,0%.;</w:t>
      </w:r>
    </w:p>
    <w:p w:rsidR="00E26963" w:rsidRPr="00E26963" w:rsidRDefault="00E26963" w:rsidP="00E2696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6963">
        <w:rPr>
          <w:sz w:val="24"/>
          <w:szCs w:val="24"/>
        </w:rPr>
        <w:t>- общий объем расходов –  251562,6 тыс. рублей, что выше ранее утвержденного показателя на 2046,3 тыс. рублей или на 0,8%;</w:t>
      </w:r>
    </w:p>
    <w:p w:rsidR="00E26963" w:rsidRDefault="00E26963" w:rsidP="00E2696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26963">
        <w:rPr>
          <w:sz w:val="24"/>
          <w:szCs w:val="24"/>
        </w:rPr>
        <w:t>-  размер дефицита бюджета  – уменьшится на 373,8 тыс. рублей и составит 19150,3 тыс. руб.  Размер дефицита  бюджета установлен в соответствии с п.3 ст.92.1 Бюджетного Кодекса РФ  и составит 12,7%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 - за счет остатков собственных    средств на 01.01.2020 г.  в сумме 13377,0 тыс. рублей;  кредиты кредитных организаций  РФ - 3621,5 тыс. рублей; бюджетные кредиты, получаемые от других бюджетов – 2151,8 тыс. рублей.</w:t>
      </w:r>
    </w:p>
    <w:p w:rsidR="00E26963" w:rsidRDefault="00E26963" w:rsidP="00E2696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16CD4" w:rsidRPr="00535A56" w:rsidRDefault="008E04F7" w:rsidP="007C2981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</w:t>
      </w:r>
      <w:r w:rsidR="00516CD4"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Настоящим проектом Решения о бюджете в 2020 году предусматривается финансирование 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муниципальных программ в объеме </w:t>
      </w:r>
      <w:r w:rsidR="007575E5">
        <w:rPr>
          <w:rFonts w:ascii="Times New Roman" w:hAnsi="Times New Roman"/>
          <w:bCs/>
          <w:sz w:val="24"/>
          <w:szCs w:val="24"/>
          <w:shd w:val="clear" w:color="auto" w:fill="FFFFFF"/>
        </w:rPr>
        <w:t>779879,48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тыс. руб., что в общих расходах бюджета муниципального образования составляет </w:t>
      </w:r>
      <w:r w:rsidR="007575E5">
        <w:rPr>
          <w:rFonts w:ascii="Times New Roman" w:hAnsi="Times New Roman"/>
          <w:bCs/>
          <w:sz w:val="24"/>
          <w:szCs w:val="24"/>
          <w:shd w:val="clear" w:color="auto" w:fill="FFFFFF"/>
        </w:rPr>
        <w:t>31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%. </w:t>
      </w:r>
      <w:r w:rsidR="009F761E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9F761E" w:rsidRPr="007575E5"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  <w:t xml:space="preserve"> </w:t>
      </w:r>
      <w:r w:rsidR="009F761E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>целях  реализации приоритетных задач</w:t>
      </w:r>
      <w:r w:rsidR="009F761E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и осуществления полномочий органов местного самоуправления </w:t>
      </w:r>
      <w:proofErr w:type="spellStart"/>
      <w:r w:rsidR="009F761E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>Тайшетского</w:t>
      </w:r>
      <w:proofErr w:type="spellEnd"/>
      <w:r w:rsidR="009F761E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городского поселения</w:t>
      </w:r>
      <w:r w:rsidR="00642D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F761E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</w:t>
      </w:r>
      <w:r w:rsidR="007C2981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окращено финансирование на реализацию семи муниципальных программ и </w:t>
      </w:r>
      <w:r w:rsidR="009F761E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>исключено</w:t>
      </w:r>
      <w:r w:rsidR="007C2981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полностью по  двум  </w:t>
      </w:r>
      <w:r w:rsidR="00642D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муниципальным </w:t>
      </w:r>
      <w:r w:rsidR="007C2981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программам</w:t>
      </w:r>
      <w:r w:rsidR="00F95034" w:rsidRPr="00535A56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gramEnd"/>
    </w:p>
    <w:p w:rsidR="008E04F7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516CD4">
        <w:rPr>
          <w:sz w:val="24"/>
          <w:szCs w:val="24"/>
        </w:rPr>
        <w:t xml:space="preserve">. По итогам экспертизы </w:t>
      </w:r>
      <w:r w:rsidR="00516CD4" w:rsidRPr="00CF3BF0">
        <w:rPr>
          <w:sz w:val="24"/>
          <w:szCs w:val="24"/>
        </w:rPr>
        <w:t>проект</w:t>
      </w:r>
      <w:r w:rsidR="00516CD4">
        <w:rPr>
          <w:sz w:val="24"/>
          <w:szCs w:val="24"/>
        </w:rPr>
        <w:t>а</w:t>
      </w:r>
      <w:r w:rsidR="00516CD4" w:rsidRPr="00CF3BF0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>решения Думы</w:t>
      </w:r>
      <w:r w:rsidR="00516CD4" w:rsidRPr="00CF3BF0">
        <w:rPr>
          <w:sz w:val="24"/>
          <w:szCs w:val="24"/>
        </w:rPr>
        <w:t xml:space="preserve"> </w:t>
      </w:r>
      <w:proofErr w:type="spellStart"/>
      <w:r w:rsidR="00516CD4" w:rsidRPr="00CF3BF0">
        <w:rPr>
          <w:sz w:val="24"/>
          <w:szCs w:val="24"/>
        </w:rPr>
        <w:t>Тайшетского</w:t>
      </w:r>
      <w:proofErr w:type="spellEnd"/>
      <w:r w:rsidR="00516CD4" w:rsidRPr="00CF3BF0">
        <w:rPr>
          <w:sz w:val="24"/>
          <w:szCs w:val="24"/>
        </w:rPr>
        <w:t xml:space="preserve"> городского поселения </w:t>
      </w:r>
      <w:r w:rsidR="00516CD4" w:rsidRPr="00C808A8">
        <w:rPr>
          <w:sz w:val="24"/>
          <w:szCs w:val="24"/>
        </w:rPr>
        <w:t>«</w:t>
      </w:r>
      <w:r w:rsidR="00516CD4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городского поселения от 28.11.2019 г. № 131 «О бюджете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C91D0A">
        <w:rPr>
          <w:sz w:val="24"/>
          <w:szCs w:val="24"/>
        </w:rPr>
        <w:t>Тайшетское</w:t>
      </w:r>
      <w:proofErr w:type="spellEnd"/>
      <w:r w:rsidR="00516CD4" w:rsidRPr="00C91D0A">
        <w:rPr>
          <w:sz w:val="24"/>
          <w:szCs w:val="24"/>
        </w:rPr>
        <w:t xml:space="preserve"> городское поселение» на 2020 год и на  плановый период 2021 и 2022 годов</w:t>
      </w:r>
      <w:r w:rsidR="00516CD4" w:rsidRPr="00C808A8">
        <w:rPr>
          <w:sz w:val="24"/>
          <w:szCs w:val="24"/>
        </w:rPr>
        <w:t xml:space="preserve">» </w:t>
      </w:r>
      <w:r w:rsidR="00516CD4">
        <w:rPr>
          <w:sz w:val="24"/>
          <w:szCs w:val="24"/>
        </w:rPr>
        <w:t xml:space="preserve"> </w:t>
      </w:r>
      <w:r w:rsidR="00516CD4" w:rsidRPr="00CF3BF0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>нарушений бюджетного законодательства не установлено</w:t>
      </w:r>
      <w:r w:rsidR="00516CD4" w:rsidRPr="000834F8">
        <w:rPr>
          <w:sz w:val="24"/>
          <w:szCs w:val="24"/>
        </w:rPr>
        <w:t>.</w:t>
      </w:r>
    </w:p>
    <w:p w:rsidR="00516CD4" w:rsidRDefault="00516CD4" w:rsidP="00516CD4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60" w:rsidRDefault="00EF2460">
      <w:r>
        <w:separator/>
      </w:r>
    </w:p>
  </w:endnote>
  <w:endnote w:type="continuationSeparator" w:id="0">
    <w:p w:rsidR="00EF2460" w:rsidRDefault="00EF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9B796F" w:rsidRDefault="009B79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3B">
          <w:rPr>
            <w:noProof/>
          </w:rPr>
          <w:t>8</w:t>
        </w:r>
        <w:r>
          <w:fldChar w:fldCharType="end"/>
        </w:r>
      </w:p>
    </w:sdtContent>
  </w:sdt>
  <w:p w:rsidR="009B796F" w:rsidRDefault="009B79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60" w:rsidRDefault="00EF2460">
      <w:r>
        <w:separator/>
      </w:r>
    </w:p>
  </w:footnote>
  <w:footnote w:type="continuationSeparator" w:id="0">
    <w:p w:rsidR="00EF2460" w:rsidRDefault="00EF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159F3"/>
    <w:rsid w:val="000518A9"/>
    <w:rsid w:val="0007230E"/>
    <w:rsid w:val="000871B8"/>
    <w:rsid w:val="000A1876"/>
    <w:rsid w:val="000A20D1"/>
    <w:rsid w:val="000A512D"/>
    <w:rsid w:val="000D766A"/>
    <w:rsid w:val="000E6658"/>
    <w:rsid w:val="0010626B"/>
    <w:rsid w:val="00190AD2"/>
    <w:rsid w:val="001935EC"/>
    <w:rsid w:val="001A1D69"/>
    <w:rsid w:val="001C605F"/>
    <w:rsid w:val="0020090E"/>
    <w:rsid w:val="0021768D"/>
    <w:rsid w:val="002B3676"/>
    <w:rsid w:val="002C4264"/>
    <w:rsid w:val="002D704E"/>
    <w:rsid w:val="0030004E"/>
    <w:rsid w:val="00404037"/>
    <w:rsid w:val="00404344"/>
    <w:rsid w:val="0044777D"/>
    <w:rsid w:val="004C1510"/>
    <w:rsid w:val="004E58AF"/>
    <w:rsid w:val="004F1A2E"/>
    <w:rsid w:val="00516CD4"/>
    <w:rsid w:val="00522D27"/>
    <w:rsid w:val="00535A56"/>
    <w:rsid w:val="005368F5"/>
    <w:rsid w:val="00541B60"/>
    <w:rsid w:val="005A23F4"/>
    <w:rsid w:val="005C0157"/>
    <w:rsid w:val="005F2045"/>
    <w:rsid w:val="00637DA4"/>
    <w:rsid w:val="00642DB3"/>
    <w:rsid w:val="006653A2"/>
    <w:rsid w:val="00666EAE"/>
    <w:rsid w:val="0067029E"/>
    <w:rsid w:val="006735B8"/>
    <w:rsid w:val="00683BB7"/>
    <w:rsid w:val="006C4D56"/>
    <w:rsid w:val="006C5603"/>
    <w:rsid w:val="006D5F9C"/>
    <w:rsid w:val="006E30CC"/>
    <w:rsid w:val="00713D3F"/>
    <w:rsid w:val="00747D8E"/>
    <w:rsid w:val="007575E5"/>
    <w:rsid w:val="0076175B"/>
    <w:rsid w:val="00766948"/>
    <w:rsid w:val="00795E82"/>
    <w:rsid w:val="007B1B1C"/>
    <w:rsid w:val="007C2981"/>
    <w:rsid w:val="00827B1B"/>
    <w:rsid w:val="008B286C"/>
    <w:rsid w:val="008E04F7"/>
    <w:rsid w:val="008E0EF2"/>
    <w:rsid w:val="008E1978"/>
    <w:rsid w:val="00907E4F"/>
    <w:rsid w:val="00923349"/>
    <w:rsid w:val="009421C7"/>
    <w:rsid w:val="00942A4C"/>
    <w:rsid w:val="009B3037"/>
    <w:rsid w:val="009B796F"/>
    <w:rsid w:val="009C5882"/>
    <w:rsid w:val="009D6772"/>
    <w:rsid w:val="009E09F1"/>
    <w:rsid w:val="009F761E"/>
    <w:rsid w:val="00A03A5E"/>
    <w:rsid w:val="00A22C98"/>
    <w:rsid w:val="00A72063"/>
    <w:rsid w:val="00A9523F"/>
    <w:rsid w:val="00B07A70"/>
    <w:rsid w:val="00B125BF"/>
    <w:rsid w:val="00B33EBF"/>
    <w:rsid w:val="00BA714B"/>
    <w:rsid w:val="00BB743A"/>
    <w:rsid w:val="00C43B23"/>
    <w:rsid w:val="00C7608D"/>
    <w:rsid w:val="00CC4733"/>
    <w:rsid w:val="00CF1CAA"/>
    <w:rsid w:val="00CF1F12"/>
    <w:rsid w:val="00D17E76"/>
    <w:rsid w:val="00D333C5"/>
    <w:rsid w:val="00D734B7"/>
    <w:rsid w:val="00DD7E3E"/>
    <w:rsid w:val="00E26963"/>
    <w:rsid w:val="00E37F27"/>
    <w:rsid w:val="00E46C1D"/>
    <w:rsid w:val="00E47817"/>
    <w:rsid w:val="00E84F97"/>
    <w:rsid w:val="00E87913"/>
    <w:rsid w:val="00EA48B5"/>
    <w:rsid w:val="00EB0C98"/>
    <w:rsid w:val="00EF2460"/>
    <w:rsid w:val="00F7313B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0CFE-0EE5-40A2-9BEE-C2714768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37</cp:revision>
  <cp:lastPrinted>2020-10-26T07:25:00Z</cp:lastPrinted>
  <dcterms:created xsi:type="dcterms:W3CDTF">2020-09-30T03:25:00Z</dcterms:created>
  <dcterms:modified xsi:type="dcterms:W3CDTF">2020-10-26T07:49:00Z</dcterms:modified>
</cp:coreProperties>
</file>