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96185E" w:rsidP="00516CD4">
      <w:pPr>
        <w:rPr>
          <w:sz w:val="24"/>
          <w:szCs w:val="24"/>
        </w:rPr>
      </w:pPr>
      <w:r>
        <w:rPr>
          <w:sz w:val="24"/>
          <w:szCs w:val="24"/>
        </w:rPr>
        <w:t>18 марта</w:t>
      </w:r>
      <w:r w:rsidR="00516CD4" w:rsidRPr="00FC56AC">
        <w:rPr>
          <w:sz w:val="24"/>
          <w:szCs w:val="24"/>
        </w:rPr>
        <w:t xml:space="preserve"> 20</w:t>
      </w:r>
      <w:r w:rsidR="00516CD4"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3E181F">
        <w:rPr>
          <w:b/>
          <w:sz w:val="24"/>
          <w:szCs w:val="24"/>
        </w:rPr>
        <w:t>0</w:t>
      </w:r>
      <w:r w:rsidR="0096185E">
        <w:rPr>
          <w:b/>
          <w:sz w:val="24"/>
          <w:szCs w:val="24"/>
        </w:rPr>
        <w:t>2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393603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393603">
        <w:rPr>
          <w:sz w:val="24"/>
          <w:szCs w:val="24"/>
        </w:rPr>
        <w:t>02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393603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г. № </w:t>
      </w:r>
      <w:r w:rsidR="00393603">
        <w:rPr>
          <w:sz w:val="24"/>
          <w:szCs w:val="24"/>
        </w:rPr>
        <w:t>208</w:t>
      </w:r>
      <w:r>
        <w:rPr>
          <w:sz w:val="24"/>
          <w:szCs w:val="24"/>
        </w:rPr>
        <w:t xml:space="preserve"> </w:t>
      </w:r>
      <w:r w:rsidR="00393603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393603">
        <w:rPr>
          <w:sz w:val="24"/>
          <w:szCs w:val="24"/>
        </w:rPr>
        <w:t>Тайшетского</w:t>
      </w:r>
      <w:proofErr w:type="spellEnd"/>
      <w:r w:rsidR="00393603">
        <w:rPr>
          <w:sz w:val="24"/>
          <w:szCs w:val="24"/>
        </w:rPr>
        <w:t xml:space="preserve"> городского поселения от 25 ноября 2020 года №190 </w:t>
      </w:r>
      <w:r>
        <w:rPr>
          <w:sz w:val="24"/>
          <w:szCs w:val="24"/>
        </w:rPr>
        <w:t xml:space="preserve">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».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 xml:space="preserve">1, </w:t>
      </w:r>
      <w:r w:rsidR="005561A4">
        <w:rPr>
          <w:sz w:val="24"/>
          <w:szCs w:val="24"/>
        </w:rPr>
        <w:t>2, 3, 4, 5</w:t>
      </w:r>
      <w:r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167D8">
        <w:rPr>
          <w:sz w:val="24"/>
          <w:szCs w:val="24"/>
        </w:rPr>
        <w:t>1</w:t>
      </w:r>
      <w:r w:rsidR="005561A4">
        <w:rPr>
          <w:sz w:val="24"/>
          <w:szCs w:val="24"/>
        </w:rPr>
        <w:t>5  марта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Pr="00DF54F6">
        <w:rPr>
          <w:b/>
          <w:sz w:val="24"/>
          <w:szCs w:val="24"/>
        </w:rPr>
        <w:t>на</w:t>
      </w:r>
      <w:r w:rsidR="00DF54F6" w:rsidRPr="00DF54F6">
        <w:rPr>
          <w:b/>
          <w:sz w:val="24"/>
          <w:szCs w:val="24"/>
        </w:rPr>
        <w:t xml:space="preserve"> плановый</w:t>
      </w:r>
      <w:r w:rsidRPr="00DF54F6">
        <w:rPr>
          <w:b/>
          <w:sz w:val="24"/>
          <w:szCs w:val="24"/>
        </w:rPr>
        <w:t xml:space="preserve"> 202</w:t>
      </w:r>
      <w:r w:rsidR="00DF54F6" w:rsidRPr="00DF54F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>доходов и увеличения общего объема расходов</w:t>
      </w:r>
      <w:r w:rsidRPr="00FC56AC">
        <w:rPr>
          <w:sz w:val="24"/>
          <w:szCs w:val="24"/>
        </w:rPr>
        <w:t xml:space="preserve">.   </w:t>
      </w:r>
      <w:r w:rsidRPr="008C4EB8">
        <w:rPr>
          <w:sz w:val="24"/>
          <w:szCs w:val="24"/>
        </w:rPr>
        <w:t xml:space="preserve">В </w:t>
      </w:r>
      <w:r w:rsidR="00DF54F6">
        <w:rPr>
          <w:sz w:val="24"/>
          <w:szCs w:val="24"/>
        </w:rPr>
        <w:t xml:space="preserve">2021 году и </w:t>
      </w:r>
      <w:r w:rsidRPr="008C4EB8">
        <w:rPr>
          <w:sz w:val="24"/>
          <w:szCs w:val="24"/>
        </w:rPr>
        <w:t>плановом периоде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DF54F6">
        <w:rPr>
          <w:sz w:val="24"/>
          <w:szCs w:val="24"/>
        </w:rPr>
        <w:t>а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6D34C4" w:rsidRDefault="006D34C4" w:rsidP="00516CD4">
      <w:p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</w:t>
      </w:r>
      <w:r w:rsidR="006D34C4">
        <w:rPr>
          <w:sz w:val="24"/>
          <w:szCs w:val="24"/>
        </w:rPr>
        <w:t xml:space="preserve"> плановый</w:t>
      </w:r>
      <w:r w:rsidRPr="00FC56A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D34C4">
        <w:rPr>
          <w:sz w:val="24"/>
          <w:szCs w:val="24"/>
        </w:rPr>
        <w:t>2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461914">
        <w:rPr>
          <w:sz w:val="24"/>
          <w:szCs w:val="24"/>
        </w:rPr>
        <w:t>167570,3</w:t>
      </w:r>
      <w:r w:rsidR="00B72E0B"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выше ранее утвержденного показателя на </w:t>
      </w:r>
      <w:r w:rsidR="00461914">
        <w:rPr>
          <w:sz w:val="24"/>
          <w:szCs w:val="24"/>
        </w:rPr>
        <w:t>5200,0</w:t>
      </w:r>
      <w:r>
        <w:rPr>
          <w:sz w:val="24"/>
          <w:szCs w:val="24"/>
        </w:rPr>
        <w:t xml:space="preserve"> тыс. рублей,  или на  </w:t>
      </w:r>
      <w:r w:rsidR="00B66B17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461914">
        <w:rPr>
          <w:sz w:val="24"/>
          <w:szCs w:val="24"/>
        </w:rPr>
        <w:t>2</w:t>
      </w:r>
      <w:r>
        <w:rPr>
          <w:sz w:val="24"/>
          <w:szCs w:val="24"/>
        </w:rPr>
        <w:t>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461914">
        <w:rPr>
          <w:sz w:val="24"/>
          <w:szCs w:val="24"/>
        </w:rPr>
        <w:t>182066,8</w:t>
      </w:r>
      <w:r w:rsidR="00B72E0B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461914">
        <w:rPr>
          <w:sz w:val="24"/>
          <w:szCs w:val="24"/>
        </w:rPr>
        <w:t>12082,4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461914">
        <w:rPr>
          <w:sz w:val="24"/>
          <w:szCs w:val="24"/>
        </w:rPr>
        <w:t>7,1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461914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976A3F">
        <w:rPr>
          <w:sz w:val="24"/>
          <w:szCs w:val="24"/>
        </w:rPr>
        <w:t>увеличится</w:t>
      </w:r>
      <w:r w:rsidRPr="00BA277C">
        <w:rPr>
          <w:sz w:val="24"/>
          <w:szCs w:val="24"/>
        </w:rPr>
        <w:t xml:space="preserve"> на </w:t>
      </w:r>
      <w:r w:rsidR="00461914">
        <w:rPr>
          <w:sz w:val="24"/>
          <w:szCs w:val="24"/>
        </w:rPr>
        <w:t>6882,4</w:t>
      </w:r>
      <w:r w:rsidRPr="00BA277C">
        <w:rPr>
          <w:sz w:val="24"/>
          <w:szCs w:val="24"/>
        </w:rPr>
        <w:t xml:space="preserve"> тыс. рублей и составит </w:t>
      </w:r>
      <w:r w:rsidR="00461914">
        <w:rPr>
          <w:sz w:val="24"/>
          <w:szCs w:val="24"/>
        </w:rPr>
        <w:t>14496,5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  и составит </w:t>
      </w:r>
      <w:r w:rsidR="00461914">
        <w:rPr>
          <w:sz w:val="24"/>
          <w:szCs w:val="24"/>
        </w:rPr>
        <w:t>10</w:t>
      </w:r>
      <w:r w:rsidRPr="00BA277C">
        <w:rPr>
          <w:sz w:val="24"/>
          <w:szCs w:val="24"/>
        </w:rPr>
        <w:t xml:space="preserve">% объема собственных доходов местного бюджета без учета утвержденного объема безвозмездных поступлений.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БК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335DF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</w:t>
            </w:r>
            <w:r w:rsidR="00335DF0">
              <w:rPr>
                <w:rFonts w:eastAsia="Times New Roman"/>
                <w:sz w:val="18"/>
                <w:szCs w:val="18"/>
              </w:rPr>
              <w:t xml:space="preserve">плановый </w:t>
            </w:r>
            <w:r>
              <w:rPr>
                <w:rFonts w:eastAsia="Times New Roman"/>
                <w:sz w:val="18"/>
                <w:szCs w:val="18"/>
              </w:rPr>
              <w:t>202</w:t>
            </w:r>
            <w:r w:rsidR="00335DF0">
              <w:rPr>
                <w:rFonts w:eastAsia="Times New Roman"/>
                <w:sz w:val="18"/>
                <w:szCs w:val="18"/>
              </w:rPr>
              <w:t>2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335DF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335DF0">
              <w:rPr>
                <w:rFonts w:eastAsia="Times New Roman"/>
                <w:sz w:val="18"/>
                <w:szCs w:val="18"/>
              </w:rPr>
              <w:t>03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335DF0">
              <w:rPr>
                <w:rFonts w:eastAsia="Times New Roman"/>
                <w:sz w:val="18"/>
                <w:szCs w:val="18"/>
              </w:rPr>
              <w:t>02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335DF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35DF0"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335DF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335DF0">
              <w:rPr>
                <w:rFonts w:eastAsia="Times New Roman"/>
                <w:sz w:val="18"/>
                <w:szCs w:val="18"/>
              </w:rPr>
              <w:t xml:space="preserve">марта </w:t>
            </w:r>
            <w:r w:rsidRPr="00686BB2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D41781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162370,3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167570,3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CD633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CD6335">
              <w:rPr>
                <w:rFonts w:eastAsia="Times New Roman"/>
                <w:sz w:val="18"/>
                <w:szCs w:val="18"/>
              </w:rPr>
              <w:t>5200,0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CD633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103,</w:t>
            </w:r>
            <w:r w:rsidR="00CD6335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D41781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169984,4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182066,8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567BFD" w:rsidP="00CD633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CD6335">
              <w:rPr>
                <w:rFonts w:eastAsia="Times New Roman"/>
                <w:sz w:val="18"/>
                <w:szCs w:val="18"/>
              </w:rPr>
              <w:t>12082,4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107,1</w:t>
            </w:r>
          </w:p>
        </w:tc>
      </w:tr>
      <w:tr w:rsidR="00D41781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-7614,1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-14496,5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+6882,4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CD633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190,4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022D3C" w:rsidRDefault="00516CD4" w:rsidP="00022D3C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 w:rsidR="00022D3C">
        <w:rPr>
          <w:sz w:val="24"/>
          <w:szCs w:val="24"/>
        </w:rPr>
        <w:t>собственных доходов</w:t>
      </w:r>
      <w:r>
        <w:rPr>
          <w:sz w:val="24"/>
          <w:szCs w:val="24"/>
        </w:rPr>
        <w:t>.</w:t>
      </w:r>
      <w:r w:rsidR="002E78F7">
        <w:rPr>
          <w:sz w:val="24"/>
          <w:szCs w:val="24"/>
        </w:rPr>
        <w:t xml:space="preserve"> Собственные доходы увеличатся на 5200,0 тыс. рублей и составят 167570,3 тыс. рублей.  В плановом 2022</w:t>
      </w:r>
      <w:r w:rsidR="002E78F7" w:rsidRPr="002E78F7">
        <w:rPr>
          <w:sz w:val="24"/>
          <w:szCs w:val="24"/>
        </w:rPr>
        <w:t xml:space="preserve"> году</w:t>
      </w:r>
      <w:r w:rsidR="002E78F7">
        <w:rPr>
          <w:sz w:val="24"/>
          <w:szCs w:val="24"/>
        </w:rPr>
        <w:t xml:space="preserve"> планируется увеличить </w:t>
      </w:r>
      <w:r w:rsidR="00F464CD">
        <w:rPr>
          <w:sz w:val="24"/>
          <w:szCs w:val="24"/>
        </w:rPr>
        <w:t xml:space="preserve">доходы по </w:t>
      </w:r>
      <w:r w:rsidR="002E78F7">
        <w:rPr>
          <w:sz w:val="24"/>
          <w:szCs w:val="24"/>
        </w:rPr>
        <w:t>н</w:t>
      </w:r>
      <w:r w:rsidR="002E78F7" w:rsidRPr="002E78F7">
        <w:rPr>
          <w:sz w:val="24"/>
          <w:szCs w:val="24"/>
        </w:rPr>
        <w:t>алог</w:t>
      </w:r>
      <w:r w:rsidR="00F464CD">
        <w:rPr>
          <w:sz w:val="24"/>
          <w:szCs w:val="24"/>
        </w:rPr>
        <w:t>ам</w:t>
      </w:r>
      <w:r w:rsidR="002E78F7" w:rsidRPr="002E78F7">
        <w:rPr>
          <w:sz w:val="24"/>
          <w:szCs w:val="24"/>
        </w:rPr>
        <w:t xml:space="preserve"> на имущество</w:t>
      </w:r>
      <w:r w:rsidR="002E78F7">
        <w:rPr>
          <w:sz w:val="24"/>
          <w:szCs w:val="24"/>
        </w:rPr>
        <w:t xml:space="preserve"> </w:t>
      </w:r>
      <w:r w:rsidR="002E78F7" w:rsidRPr="002E78F7">
        <w:rPr>
          <w:sz w:val="24"/>
          <w:szCs w:val="24"/>
        </w:rPr>
        <w:t xml:space="preserve">  </w:t>
      </w:r>
      <w:r w:rsidR="002E78F7">
        <w:rPr>
          <w:sz w:val="24"/>
          <w:szCs w:val="24"/>
        </w:rPr>
        <w:t>(</w:t>
      </w:r>
      <w:r w:rsidR="002E78F7" w:rsidRPr="002E78F7">
        <w:rPr>
          <w:sz w:val="24"/>
          <w:szCs w:val="24"/>
        </w:rPr>
        <w:t xml:space="preserve">согласно прогнозных данных Межрайонной инспекции ФНС России </w:t>
      </w:r>
      <w:r w:rsidR="002E78F7">
        <w:rPr>
          <w:sz w:val="24"/>
          <w:szCs w:val="24"/>
        </w:rPr>
        <w:t xml:space="preserve">№6 по Иркутской области) -   </w:t>
      </w:r>
      <w:r w:rsidR="002E78F7" w:rsidRPr="002E78F7">
        <w:rPr>
          <w:sz w:val="24"/>
          <w:szCs w:val="24"/>
        </w:rPr>
        <w:t xml:space="preserve">налог на имущество физических лиц </w:t>
      </w:r>
      <w:r w:rsidR="002E78F7">
        <w:rPr>
          <w:sz w:val="24"/>
          <w:szCs w:val="24"/>
        </w:rPr>
        <w:t xml:space="preserve"> на </w:t>
      </w:r>
      <w:r w:rsidR="00226D56">
        <w:rPr>
          <w:sz w:val="24"/>
          <w:szCs w:val="24"/>
        </w:rPr>
        <w:t xml:space="preserve">2700,0 тыс. рублей </w:t>
      </w:r>
      <w:r w:rsidR="002E78F7" w:rsidRPr="002E78F7">
        <w:rPr>
          <w:sz w:val="24"/>
          <w:szCs w:val="24"/>
        </w:rPr>
        <w:t>и земельный</w:t>
      </w:r>
      <w:r w:rsidR="002E78F7">
        <w:rPr>
          <w:sz w:val="24"/>
          <w:szCs w:val="24"/>
        </w:rPr>
        <w:t xml:space="preserve"> налог</w:t>
      </w:r>
      <w:r w:rsidR="00226D56">
        <w:rPr>
          <w:sz w:val="24"/>
          <w:szCs w:val="24"/>
        </w:rPr>
        <w:t xml:space="preserve"> на 2500,0 тыс. рублей.</w:t>
      </w:r>
    </w:p>
    <w:p w:rsidR="00D902FB" w:rsidRDefault="00D902FB" w:rsidP="00D902FB">
      <w:pPr>
        <w:ind w:firstLine="708"/>
        <w:jc w:val="both"/>
        <w:rPr>
          <w:sz w:val="24"/>
          <w:szCs w:val="24"/>
        </w:rPr>
      </w:pPr>
    </w:p>
    <w:p w:rsidR="00D902FB" w:rsidRDefault="00D902FB" w:rsidP="00D902FB">
      <w:pPr>
        <w:ind w:firstLine="708"/>
        <w:jc w:val="both"/>
        <w:rPr>
          <w:sz w:val="24"/>
          <w:szCs w:val="24"/>
        </w:rPr>
      </w:pPr>
      <w:r w:rsidRPr="00DD554C">
        <w:rPr>
          <w:sz w:val="24"/>
          <w:szCs w:val="24"/>
        </w:rPr>
        <w:lastRenderedPageBreak/>
        <w:t>2</w:t>
      </w:r>
      <w:r w:rsidRPr="008C0217">
        <w:rPr>
          <w:sz w:val="24"/>
          <w:szCs w:val="24"/>
        </w:rPr>
        <w:t xml:space="preserve">.2.1. Собственные доходы бюджета </w:t>
      </w:r>
      <w:r>
        <w:rPr>
          <w:sz w:val="24"/>
          <w:szCs w:val="24"/>
        </w:rPr>
        <w:t>планируется утвердить в следующей  редакции</w:t>
      </w:r>
      <w:r w:rsidRPr="008C0217">
        <w:rPr>
          <w:sz w:val="24"/>
          <w:szCs w:val="24"/>
        </w:rPr>
        <w:t>:</w:t>
      </w:r>
    </w:p>
    <w:p w:rsidR="00D902FB" w:rsidRDefault="00D902FB" w:rsidP="00D902FB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902FB" w:rsidRPr="00D422D9" w:rsidRDefault="00D902FB" w:rsidP="00D902FB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7228A" w:rsidRPr="00AE346F">
        <w:rPr>
          <w:sz w:val="24"/>
          <w:szCs w:val="24"/>
        </w:rPr>
        <w:t>13440</w:t>
      </w:r>
      <w:r w:rsidR="004238D7" w:rsidRPr="00AE346F">
        <w:rPr>
          <w:sz w:val="24"/>
          <w:szCs w:val="24"/>
        </w:rPr>
        <w:t>8</w:t>
      </w:r>
      <w:r w:rsidR="00B7228A" w:rsidRPr="00AE346F">
        <w:rPr>
          <w:sz w:val="24"/>
          <w:szCs w:val="24"/>
        </w:rPr>
        <w:t>,</w:t>
      </w:r>
      <w:r w:rsidR="004238D7" w:rsidRPr="00AE346F">
        <w:rPr>
          <w:sz w:val="24"/>
          <w:szCs w:val="24"/>
        </w:rPr>
        <w:t>1</w:t>
      </w:r>
      <w:r w:rsidRPr="00AE346F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B7228A">
        <w:rPr>
          <w:sz w:val="24"/>
          <w:szCs w:val="24"/>
        </w:rPr>
        <w:t>75560,0</w:t>
      </w:r>
      <w:r w:rsidRPr="00D422D9">
        <w:rPr>
          <w:sz w:val="24"/>
          <w:szCs w:val="24"/>
        </w:rPr>
        <w:t xml:space="preserve"> тыс. рублей, налог на имущество   </w:t>
      </w:r>
      <w:r w:rsidR="00B7228A">
        <w:rPr>
          <w:sz w:val="24"/>
          <w:szCs w:val="24"/>
        </w:rPr>
        <w:t>17050,0</w:t>
      </w:r>
      <w:r w:rsidRPr="00D422D9">
        <w:rPr>
          <w:sz w:val="24"/>
          <w:szCs w:val="24"/>
        </w:rPr>
        <w:t xml:space="preserve"> тыс. рублей, земельный налог</w:t>
      </w:r>
      <w:r>
        <w:rPr>
          <w:sz w:val="24"/>
          <w:szCs w:val="24"/>
        </w:rPr>
        <w:t xml:space="preserve"> –</w:t>
      </w:r>
      <w:r w:rsidRPr="00D422D9">
        <w:rPr>
          <w:sz w:val="24"/>
          <w:szCs w:val="24"/>
        </w:rPr>
        <w:t xml:space="preserve"> </w:t>
      </w:r>
      <w:r w:rsidR="00B7228A">
        <w:rPr>
          <w:sz w:val="24"/>
          <w:szCs w:val="24"/>
        </w:rPr>
        <w:t>28680,0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B7228A">
        <w:rPr>
          <w:sz w:val="24"/>
          <w:szCs w:val="24"/>
        </w:rPr>
        <w:t>13117,7</w:t>
      </w:r>
      <w:r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-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D902FB" w:rsidRPr="00D757BB" w:rsidRDefault="00D902FB" w:rsidP="00D902F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>
        <w:rPr>
          <w:sz w:val="24"/>
          <w:szCs w:val="24"/>
        </w:rPr>
        <w:t xml:space="preserve">запланированы в сумме </w:t>
      </w:r>
      <w:r w:rsidRPr="00D757BB">
        <w:rPr>
          <w:sz w:val="24"/>
          <w:szCs w:val="24"/>
        </w:rPr>
        <w:t xml:space="preserve"> </w:t>
      </w:r>
      <w:r>
        <w:rPr>
          <w:sz w:val="24"/>
          <w:szCs w:val="24"/>
        </w:rPr>
        <w:t>951</w:t>
      </w:r>
      <w:r w:rsidR="00B7228A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B7228A">
        <w:rPr>
          <w:sz w:val="24"/>
          <w:szCs w:val="24"/>
        </w:rPr>
        <w:t>5</w:t>
      </w:r>
      <w:r w:rsidRPr="00D757BB">
        <w:rPr>
          <w:sz w:val="24"/>
          <w:szCs w:val="24"/>
        </w:rPr>
        <w:t xml:space="preserve"> тыс. рублей, в том числе: </w:t>
      </w:r>
    </w:p>
    <w:p w:rsidR="00D902FB" w:rsidRPr="00D757BB" w:rsidRDefault="00D902FB" w:rsidP="00D902FB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 поступления по аренде земельных участков  </w:t>
      </w:r>
      <w:r>
        <w:rPr>
          <w:sz w:val="24"/>
          <w:szCs w:val="24"/>
        </w:rPr>
        <w:t xml:space="preserve">- </w:t>
      </w:r>
      <w:r w:rsidRPr="00D757BB">
        <w:rPr>
          <w:sz w:val="24"/>
          <w:szCs w:val="24"/>
        </w:rPr>
        <w:t xml:space="preserve"> </w:t>
      </w:r>
      <w:r>
        <w:rPr>
          <w:sz w:val="24"/>
          <w:szCs w:val="24"/>
        </w:rPr>
        <w:t>6835,</w:t>
      </w:r>
      <w:r w:rsidR="00B7228A">
        <w:rPr>
          <w:sz w:val="24"/>
          <w:szCs w:val="24"/>
        </w:rPr>
        <w:t>0</w:t>
      </w:r>
      <w:r w:rsidRPr="00D757BB">
        <w:rPr>
          <w:sz w:val="24"/>
          <w:szCs w:val="24"/>
        </w:rPr>
        <w:t xml:space="preserve"> тыс. рублей,</w:t>
      </w:r>
    </w:p>
    <w:p w:rsidR="00D902FB" w:rsidRPr="00D757BB" w:rsidRDefault="00D902FB" w:rsidP="00D902FB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>
        <w:rPr>
          <w:sz w:val="24"/>
          <w:szCs w:val="24"/>
        </w:rPr>
        <w:t xml:space="preserve"> -  2175,5 </w:t>
      </w:r>
      <w:r w:rsidRPr="00D757BB">
        <w:rPr>
          <w:sz w:val="24"/>
          <w:szCs w:val="24"/>
        </w:rPr>
        <w:t xml:space="preserve">тыс. рублей, </w:t>
      </w:r>
    </w:p>
    <w:p w:rsidR="00D902FB" w:rsidRDefault="00D902FB" w:rsidP="00D902FB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и составят 500,0 тыс. рублей.</w:t>
      </w:r>
    </w:p>
    <w:p w:rsidR="00D902FB" w:rsidRDefault="00D902FB" w:rsidP="00D902FB">
      <w:pPr>
        <w:pStyle w:val="a3"/>
        <w:ind w:left="426"/>
        <w:jc w:val="both"/>
        <w:rPr>
          <w:sz w:val="24"/>
          <w:szCs w:val="24"/>
        </w:rPr>
      </w:pPr>
    </w:p>
    <w:p w:rsidR="00D902FB" w:rsidRDefault="00D902FB" w:rsidP="00D902F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>
        <w:rPr>
          <w:sz w:val="24"/>
          <w:szCs w:val="24"/>
        </w:rPr>
        <w:t>настоящим проектом не запланированы.</w:t>
      </w:r>
    </w:p>
    <w:p w:rsidR="00D902FB" w:rsidRPr="00D757BB" w:rsidRDefault="00D902FB" w:rsidP="00D902FB">
      <w:pPr>
        <w:pStyle w:val="a3"/>
        <w:ind w:left="426"/>
        <w:jc w:val="both"/>
        <w:rPr>
          <w:sz w:val="24"/>
          <w:szCs w:val="24"/>
        </w:rPr>
      </w:pPr>
    </w:p>
    <w:p w:rsidR="00D902FB" w:rsidRDefault="00D902FB" w:rsidP="00D902FB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(земельных участков) – 300,0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D902FB" w:rsidRPr="00D422D9" w:rsidRDefault="00D902FB" w:rsidP="00D902FB">
      <w:pPr>
        <w:pStyle w:val="a3"/>
        <w:ind w:left="426"/>
        <w:jc w:val="both"/>
        <w:rPr>
          <w:sz w:val="24"/>
          <w:szCs w:val="24"/>
        </w:rPr>
      </w:pPr>
    </w:p>
    <w:p w:rsidR="00D902FB" w:rsidRDefault="00D902FB" w:rsidP="00D902F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>
        <w:rPr>
          <w:sz w:val="24"/>
          <w:szCs w:val="24"/>
        </w:rPr>
        <w:t>чиняемого автомобильным дорогам настоящим проектом</w:t>
      </w:r>
      <w:r w:rsidRPr="006D4AE3">
        <w:rPr>
          <w:sz w:val="24"/>
          <w:szCs w:val="24"/>
        </w:rPr>
        <w:t xml:space="preserve"> </w:t>
      </w:r>
      <w:r>
        <w:rPr>
          <w:sz w:val="24"/>
          <w:szCs w:val="24"/>
        </w:rPr>
        <w:t>не планируются</w:t>
      </w:r>
      <w:proofErr w:type="gramEnd"/>
      <w:r>
        <w:rPr>
          <w:sz w:val="24"/>
          <w:szCs w:val="24"/>
        </w:rPr>
        <w:t>.</w:t>
      </w:r>
    </w:p>
    <w:p w:rsidR="00D902FB" w:rsidRDefault="00D902FB" w:rsidP="00D902FB">
      <w:pPr>
        <w:pStyle w:val="a3"/>
        <w:ind w:left="426"/>
        <w:jc w:val="both"/>
        <w:rPr>
          <w:sz w:val="24"/>
          <w:szCs w:val="24"/>
        </w:rPr>
      </w:pPr>
    </w:p>
    <w:p w:rsidR="00D902FB" w:rsidRPr="00CF36CB" w:rsidRDefault="00D902FB" w:rsidP="00D902F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>
        <w:rPr>
          <w:sz w:val="24"/>
          <w:szCs w:val="24"/>
        </w:rPr>
        <w:t xml:space="preserve">  -  746</w:t>
      </w:r>
      <w:r w:rsidRPr="00CF36CB">
        <w:rPr>
          <w:sz w:val="24"/>
          <w:szCs w:val="24"/>
        </w:rPr>
        <w:t>,0 тыс. рублей.</w:t>
      </w:r>
    </w:p>
    <w:p w:rsidR="00022D3C" w:rsidRDefault="00022D3C" w:rsidP="00022D3C">
      <w:pPr>
        <w:ind w:firstLine="708"/>
        <w:jc w:val="both"/>
        <w:rPr>
          <w:sz w:val="24"/>
          <w:szCs w:val="24"/>
        </w:rPr>
      </w:pPr>
    </w:p>
    <w:p w:rsidR="00516CD4" w:rsidRPr="003D7F6E" w:rsidRDefault="00516CD4" w:rsidP="00E1650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</w:t>
      </w:r>
      <w:r w:rsidR="00E16506">
        <w:rPr>
          <w:bCs/>
          <w:sz w:val="24"/>
          <w:szCs w:val="24"/>
        </w:rPr>
        <w:t xml:space="preserve">плановый </w:t>
      </w:r>
      <w:r w:rsidR="00DD554C" w:rsidRPr="00DD554C">
        <w:rPr>
          <w:bCs/>
          <w:sz w:val="24"/>
          <w:szCs w:val="24"/>
        </w:rPr>
        <w:t>202</w:t>
      </w:r>
      <w:r w:rsidR="00E16506">
        <w:rPr>
          <w:bCs/>
          <w:sz w:val="24"/>
          <w:szCs w:val="24"/>
        </w:rPr>
        <w:t>2</w:t>
      </w:r>
      <w:r w:rsidR="00DD554C">
        <w:rPr>
          <w:bCs/>
          <w:sz w:val="24"/>
          <w:szCs w:val="24"/>
        </w:rPr>
        <w:t xml:space="preserve">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</w:t>
      </w:r>
      <w:r w:rsidR="00B25BA8">
        <w:rPr>
          <w:sz w:val="24"/>
          <w:szCs w:val="24"/>
        </w:rPr>
        <w:t>не изменятся  и</w:t>
      </w:r>
      <w:r>
        <w:rPr>
          <w:sz w:val="24"/>
          <w:szCs w:val="24"/>
        </w:rPr>
        <w:t xml:space="preserve">   состав</w:t>
      </w:r>
      <w:r w:rsidR="00B25BA8">
        <w:rPr>
          <w:sz w:val="24"/>
          <w:szCs w:val="24"/>
        </w:rPr>
        <w:t>я</w:t>
      </w:r>
      <w:r>
        <w:rPr>
          <w:sz w:val="24"/>
          <w:szCs w:val="24"/>
        </w:rPr>
        <w:t>т</w:t>
      </w:r>
      <w:r w:rsidR="00B25BA8">
        <w:rPr>
          <w:sz w:val="24"/>
          <w:szCs w:val="24"/>
        </w:rPr>
        <w:t xml:space="preserve"> на 2022 год </w:t>
      </w:r>
      <w:r>
        <w:rPr>
          <w:sz w:val="24"/>
          <w:szCs w:val="24"/>
        </w:rPr>
        <w:t xml:space="preserve"> </w:t>
      </w:r>
      <w:r w:rsidR="00B25BA8">
        <w:rPr>
          <w:bCs/>
          <w:sz w:val="24"/>
          <w:szCs w:val="24"/>
        </w:rPr>
        <w:t>22605,7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B25BA8" w:rsidRDefault="00B25BA8" w:rsidP="00DD554C">
      <w:pPr>
        <w:ind w:firstLine="708"/>
        <w:jc w:val="both"/>
        <w:rPr>
          <w:bCs/>
          <w:sz w:val="24"/>
          <w:szCs w:val="24"/>
        </w:rPr>
      </w:pPr>
    </w:p>
    <w:p w:rsidR="00B25BA8" w:rsidRPr="00B25BA8" w:rsidRDefault="00B25BA8" w:rsidP="00B25B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 xml:space="preserve">-  субвенция на </w:t>
      </w:r>
      <w:proofErr w:type="spellStart"/>
      <w:r w:rsidRPr="00B25BA8">
        <w:rPr>
          <w:rFonts w:eastAsia="Times New Roman"/>
          <w:sz w:val="24"/>
          <w:szCs w:val="24"/>
        </w:rPr>
        <w:t>госполномочия</w:t>
      </w:r>
      <w:proofErr w:type="spellEnd"/>
      <w:r w:rsidRPr="00B25BA8">
        <w:rPr>
          <w:rFonts w:eastAsia="Times New Roman"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 в сумме 176,0 тыс. рублей;</w:t>
      </w:r>
    </w:p>
    <w:p w:rsidR="00B25BA8" w:rsidRPr="00B25BA8" w:rsidRDefault="00B25BA8" w:rsidP="00B25B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>-  субсидия на повышение эксплуатационной надежности гидротехнических сооружений, путем их приведения к безопасному  техническому состоянию – 15000,0 тыс. рублей;</w:t>
      </w:r>
    </w:p>
    <w:p w:rsidR="00B25BA8" w:rsidRPr="00B25BA8" w:rsidRDefault="00B25BA8" w:rsidP="00B25B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B25BA8" w:rsidRPr="00B25BA8" w:rsidRDefault="00B25BA8" w:rsidP="00B25BA8">
      <w:pPr>
        <w:jc w:val="both"/>
        <w:rPr>
          <w:rFonts w:eastAsia="Times New Roman"/>
          <w:sz w:val="24"/>
          <w:szCs w:val="24"/>
        </w:rPr>
      </w:pPr>
      <w:r w:rsidRPr="00B25BA8">
        <w:rPr>
          <w:rFonts w:eastAsia="Times New Roman"/>
          <w:sz w:val="24"/>
          <w:szCs w:val="24"/>
        </w:rPr>
        <w:t>-  дотация на выравнивание  бюджетной обеспеченности поселений  - 615,0 тыс.</w:t>
      </w:r>
      <w:r w:rsidR="00E913D0">
        <w:rPr>
          <w:rFonts w:eastAsia="Times New Roman"/>
          <w:sz w:val="24"/>
          <w:szCs w:val="24"/>
        </w:rPr>
        <w:t xml:space="preserve"> </w:t>
      </w:r>
      <w:r w:rsidRPr="00B25BA8">
        <w:rPr>
          <w:rFonts w:eastAsia="Times New Roman"/>
          <w:sz w:val="24"/>
          <w:szCs w:val="24"/>
        </w:rPr>
        <w:t>руб</w:t>
      </w:r>
      <w:r w:rsidR="00E913D0">
        <w:rPr>
          <w:rFonts w:eastAsia="Times New Roman"/>
          <w:sz w:val="24"/>
          <w:szCs w:val="24"/>
        </w:rPr>
        <w:t>лей</w:t>
      </w:r>
      <w:r w:rsidRPr="00B25BA8">
        <w:rPr>
          <w:rFonts w:eastAsia="Times New Roman"/>
          <w:sz w:val="24"/>
          <w:szCs w:val="24"/>
        </w:rPr>
        <w:t>.</w:t>
      </w:r>
    </w:p>
    <w:p w:rsidR="00B25BA8" w:rsidRPr="00DD554C" w:rsidRDefault="00B25BA8" w:rsidP="00DD554C">
      <w:pPr>
        <w:ind w:firstLine="708"/>
        <w:jc w:val="both"/>
        <w:rPr>
          <w:bCs/>
          <w:sz w:val="24"/>
          <w:szCs w:val="24"/>
        </w:rPr>
      </w:pPr>
    </w:p>
    <w:p w:rsidR="000E6658" w:rsidRDefault="000E6658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</w:t>
      </w:r>
      <w:r w:rsidR="008A1A6A">
        <w:rPr>
          <w:sz w:val="24"/>
          <w:szCs w:val="24"/>
        </w:rPr>
        <w:t xml:space="preserve"> плановый</w:t>
      </w:r>
      <w:r w:rsidRPr="000E39E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8A1A6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7F3C92">
        <w:rPr>
          <w:sz w:val="24"/>
          <w:szCs w:val="24"/>
        </w:rPr>
        <w:t xml:space="preserve">на плановый 2022 год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7F3C92">
        <w:rPr>
          <w:sz w:val="24"/>
          <w:szCs w:val="24"/>
        </w:rPr>
        <w:t>182066,8</w:t>
      </w:r>
      <w:r w:rsidRPr="000E39EC">
        <w:rPr>
          <w:sz w:val="24"/>
          <w:szCs w:val="24"/>
        </w:rPr>
        <w:t xml:space="preserve">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 w:rsidR="007F3C92">
        <w:rPr>
          <w:sz w:val="24"/>
          <w:szCs w:val="24"/>
        </w:rPr>
        <w:t>03</w:t>
      </w:r>
      <w:r w:rsidRPr="00AB5F3A">
        <w:rPr>
          <w:sz w:val="24"/>
          <w:szCs w:val="24"/>
        </w:rPr>
        <w:t>.</w:t>
      </w:r>
      <w:r w:rsidR="007F3C92">
        <w:rPr>
          <w:sz w:val="24"/>
          <w:szCs w:val="24"/>
        </w:rPr>
        <w:t>02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7F3C92">
        <w:rPr>
          <w:sz w:val="24"/>
          <w:szCs w:val="24"/>
        </w:rPr>
        <w:t>208</w:t>
      </w:r>
      <w:r w:rsidRPr="00AB5F3A">
        <w:rPr>
          <w:sz w:val="24"/>
          <w:szCs w:val="24"/>
        </w:rPr>
        <w:t xml:space="preserve"> в целом </w:t>
      </w:r>
      <w:r w:rsidR="007F3C92">
        <w:rPr>
          <w:sz w:val="24"/>
          <w:szCs w:val="24"/>
        </w:rPr>
        <w:t xml:space="preserve">планируется </w:t>
      </w:r>
      <w:r w:rsidRPr="00AB5F3A">
        <w:rPr>
          <w:sz w:val="24"/>
          <w:szCs w:val="24"/>
        </w:rPr>
        <w:t>увелич</w:t>
      </w:r>
      <w:r w:rsidR="007F3C92">
        <w:rPr>
          <w:sz w:val="24"/>
          <w:szCs w:val="24"/>
        </w:rPr>
        <w:t>ить</w:t>
      </w:r>
      <w:r w:rsidRPr="00AB5F3A">
        <w:rPr>
          <w:sz w:val="24"/>
          <w:szCs w:val="24"/>
        </w:rPr>
        <w:t xml:space="preserve"> на  </w:t>
      </w:r>
      <w:r w:rsidR="007F3C92">
        <w:rPr>
          <w:b/>
          <w:sz w:val="24"/>
          <w:szCs w:val="24"/>
        </w:rPr>
        <w:t>12082,4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</w:t>
      </w:r>
      <w:r w:rsidR="007F3C92">
        <w:rPr>
          <w:rFonts w:eastAsia="Times New Roman"/>
          <w:sz w:val="24"/>
          <w:szCs w:val="24"/>
        </w:rPr>
        <w:t xml:space="preserve"> плановый</w:t>
      </w:r>
      <w:r w:rsidRPr="00B5084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7F3C92">
        <w:rPr>
          <w:rFonts w:eastAsia="Times New Roman"/>
          <w:sz w:val="24"/>
          <w:szCs w:val="24"/>
        </w:rPr>
        <w:t>2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  <w:r w:rsidR="002E0B1B">
        <w:rPr>
          <w:rFonts w:eastAsia="Times New Roman"/>
          <w:sz w:val="24"/>
          <w:szCs w:val="24"/>
        </w:rPr>
        <w:t xml:space="preserve"> </w:t>
      </w:r>
    </w:p>
    <w:p w:rsidR="002E0B1B" w:rsidRDefault="002E0B1B" w:rsidP="002E0B1B">
      <w:pPr>
        <w:ind w:firstLine="708"/>
        <w:jc w:val="right"/>
        <w:rPr>
          <w:rFonts w:eastAsia="Times New Roman"/>
          <w:sz w:val="24"/>
          <w:szCs w:val="24"/>
        </w:rPr>
      </w:pPr>
    </w:p>
    <w:p w:rsidR="002E0B1B" w:rsidRDefault="002E0B1B" w:rsidP="002E0B1B">
      <w:pPr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Тыс. руб.</w:t>
      </w:r>
    </w:p>
    <w:p w:rsidR="00516CD4" w:rsidRDefault="00516CD4" w:rsidP="00516CD4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992"/>
        <w:gridCol w:w="1843"/>
        <w:gridCol w:w="1842"/>
        <w:gridCol w:w="1418"/>
      </w:tblGrid>
      <w:tr w:rsidR="00FC10D2" w:rsidRPr="00C52F58" w:rsidTr="00326932">
        <w:trPr>
          <w:cantSplit/>
          <w:trHeight w:val="140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10D2" w:rsidRPr="00C52F58" w:rsidRDefault="00FC10D2" w:rsidP="00F21CA7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C10D2" w:rsidRDefault="00FC10D2" w:rsidP="00F21CA7">
            <w:pPr>
              <w:ind w:left="113" w:right="113"/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  <w:r>
              <w:rPr>
                <w:b/>
              </w:rPr>
              <w:t>,</w:t>
            </w:r>
          </w:p>
          <w:p w:rsidR="00FC10D2" w:rsidRPr="00C52F58" w:rsidRDefault="00FC10D2" w:rsidP="00F21C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326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</w:t>
            </w:r>
          </w:p>
          <w:p w:rsidR="00FC10D2" w:rsidRPr="00C52F58" w:rsidRDefault="00326932" w:rsidP="00326932">
            <w:pPr>
              <w:ind w:hanging="6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«О бюджете на 2021 г. и плановые периоды 2022 и 2023 годы»  от 03.02.2021 г. №208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0D2" w:rsidRPr="00C52F58" w:rsidRDefault="00326932" w:rsidP="00F21CA7">
            <w:pPr>
              <w:ind w:hanging="60"/>
              <w:rPr>
                <w:b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>
              <w:rPr>
                <w:sz w:val="18"/>
                <w:szCs w:val="18"/>
              </w:rPr>
              <w:t xml:space="preserve">марта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AD34C4" w:rsidRDefault="00326932" w:rsidP="00326932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326932" w:rsidRPr="00AD34C4" w:rsidRDefault="00326932" w:rsidP="00326932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FC10D2" w:rsidRPr="00C52F58" w:rsidRDefault="00326932" w:rsidP="00326932">
            <w:pPr>
              <w:ind w:hanging="60"/>
              <w:rPr>
                <w:b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C52F58" w:rsidRDefault="00326932" w:rsidP="00F21CA7">
            <w:pPr>
              <w:rPr>
                <w:b/>
              </w:rPr>
            </w:pPr>
            <w:r>
              <w:rPr>
                <w:b/>
              </w:rPr>
              <w:t>Общегосударственные расходы: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sz w:val="16"/>
                <w:szCs w:val="16"/>
              </w:rPr>
            </w:pPr>
            <w:r w:rsidRPr="00A0303A">
              <w:rPr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78339,7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78339,7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-1000,0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104FEE" w:rsidRDefault="00326932" w:rsidP="00F21CA7">
            <w:r w:rsidRPr="00104FEE">
              <w:t>Функционирование 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2757,5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104FEE" w:rsidRDefault="00326932" w:rsidP="00F21CA7">
            <w:r w:rsidRPr="00104FEE">
              <w:t>Функционирование администрации, Управления экономики, КСП,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326932" w:rsidRPr="00A0303A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66516,3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66516,3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A33497" w:rsidRDefault="00326932" w:rsidP="00F21CA7">
            <w:r w:rsidRPr="00A33497">
              <w:t>Расходы на выплату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326932" w:rsidRPr="00A0303A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993164" w:rsidRDefault="00326932" w:rsidP="00F21CA7">
            <w:r w:rsidRPr="00993164">
              <w:t>46501,0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993164" w:rsidRDefault="00326932" w:rsidP="00F21CA7">
            <w:r w:rsidRPr="00993164">
              <w:t>46501,0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993164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A33497" w:rsidRDefault="00326932" w:rsidP="00F21CA7"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ED557B" w:rsidRDefault="00326932" w:rsidP="00F21CA7">
            <w:r w:rsidRPr="00ED557B">
              <w:t>3000,0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ED557B" w:rsidRDefault="0016098D" w:rsidP="00F21CA7">
            <w:r>
              <w:t>2</w:t>
            </w:r>
            <w:r w:rsidR="00326932" w:rsidRPr="00ED557B"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ED557B" w:rsidRDefault="0016098D" w:rsidP="00F21CA7">
            <w:r>
              <w:t>-1000,0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104FEE" w:rsidRDefault="00326932" w:rsidP="00F21CA7">
            <w:r w:rsidRPr="00104FEE"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104FEE" w:rsidRDefault="00326932" w:rsidP="00F21CA7">
            <w:r w:rsidRPr="00104FEE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5565,9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5565,9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87F39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32" w:rsidRPr="00AB5B83" w:rsidRDefault="00326932" w:rsidP="00F21CA7">
            <w:pPr>
              <w:rPr>
                <w:b/>
              </w:rPr>
            </w:pPr>
            <w:r w:rsidRPr="00AB5B83">
              <w:rPr>
                <w:b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Default="00326932" w:rsidP="00F2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401,3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24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39069,5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52151,9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16098D">
            <w:r>
              <w:t>+13082,4</w:t>
            </w:r>
          </w:p>
        </w:tc>
      </w:tr>
      <w:tr w:rsidR="00326932" w:rsidRPr="00C52F58" w:rsidTr="00326932">
        <w:trPr>
          <w:trHeight w:val="1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175,3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2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612,4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612,4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2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2568,2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98D" w:rsidRDefault="0016098D" w:rsidP="0016098D">
            <w:r>
              <w:t>0,0</w:t>
            </w:r>
          </w:p>
        </w:tc>
      </w:tr>
      <w:tr w:rsidR="00326932" w:rsidRPr="00C52F58" w:rsidTr="00326932">
        <w:trPr>
          <w:trHeight w:val="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19932,4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33014,8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+13082,4</w:t>
            </w:r>
          </w:p>
        </w:tc>
      </w:tr>
      <w:tr w:rsidR="00326932" w:rsidRPr="00C52F58" w:rsidTr="00326932">
        <w:trPr>
          <w:trHeight w:val="2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781,2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781,2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11758,0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11758,0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1804,0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800,0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9154,0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9154,0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2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3C7553" w:rsidRDefault="00326932" w:rsidP="00F21CA7">
            <w:pPr>
              <w:rPr>
                <w:b/>
                <w:color w:val="000000"/>
              </w:rPr>
            </w:pPr>
            <w:r w:rsidRPr="003C7553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588,8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588,8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589,0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589,0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17556,2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17556,2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Библиотечное объединение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27332B" w:rsidRDefault="00326932" w:rsidP="00F21CA7">
            <w:pPr>
              <w:rPr>
                <w:bCs/>
                <w:color w:val="000000"/>
                <w:sz w:val="16"/>
                <w:szCs w:val="16"/>
              </w:rPr>
            </w:pPr>
            <w:r w:rsidRPr="0027332B">
              <w:rPr>
                <w:bCs/>
                <w:color w:val="000000"/>
                <w:sz w:val="16"/>
                <w:szCs w:val="16"/>
              </w:rPr>
              <w:t> 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15911,2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15911,2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Вопросы в области культуры, спорта 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27332B" w:rsidRDefault="00326932" w:rsidP="00F21CA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1645,0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C52F58" w:rsidRDefault="00326932" w:rsidP="00F21CA7">
            <w:r>
              <w:t>7634,0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326932" w:rsidP="00F21CA7">
            <w:r>
              <w:t>7634,0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C52F58" w:rsidRDefault="00326932" w:rsidP="00F21CA7">
            <w:r>
              <w:t>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326932" w:rsidP="00F21CA7">
            <w: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color w:val="000000"/>
              </w:rPr>
            </w:pPr>
            <w:r w:rsidRPr="00A0303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C52F58" w:rsidRDefault="00326932" w:rsidP="00F21CA7">
            <w:r>
              <w:t>2634,0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326932" w:rsidP="00F21CA7">
            <w:r>
              <w:t>2634,0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D74D00" w:rsidRDefault="00326932" w:rsidP="00F21CA7">
            <w:pPr>
              <w:rPr>
                <w:b/>
                <w:bCs/>
                <w:color w:val="000000"/>
              </w:rPr>
            </w:pPr>
            <w:r w:rsidRPr="00D74D00">
              <w:rPr>
                <w:b/>
                <w:bCs/>
                <w:color w:val="000000"/>
              </w:rPr>
              <w:t>Физическая культура и спорт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11</w:t>
            </w:r>
            <w:r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C52F58" w:rsidRDefault="00326932" w:rsidP="00F21CA7">
            <w:r>
              <w:t>14046,5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326932" w:rsidP="00F21CA7">
            <w:r>
              <w:t>14046,5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D10614" w:rsidRDefault="00326932" w:rsidP="00F21CA7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>МКУ КСЦ «Сибирь»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C52F58" w:rsidRDefault="00326932" w:rsidP="00F21CA7">
            <w:r>
              <w:t>12371,0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326932" w:rsidP="00F21CA7">
            <w:r>
              <w:t>12371,0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D10614" w:rsidRDefault="00326932" w:rsidP="00F21CA7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 xml:space="preserve">Вопросы в области </w:t>
            </w:r>
            <w:proofErr w:type="spellStart"/>
            <w:r w:rsidRPr="00D10614">
              <w:rPr>
                <w:bCs/>
                <w:color w:val="000000"/>
              </w:rPr>
              <w:t>физ</w:t>
            </w:r>
            <w:proofErr w:type="gramStart"/>
            <w:r w:rsidRPr="00D10614">
              <w:rPr>
                <w:bCs/>
                <w:color w:val="000000"/>
              </w:rPr>
              <w:t>.к</w:t>
            </w:r>
            <w:proofErr w:type="gramEnd"/>
            <w:r w:rsidRPr="00D10614">
              <w:rPr>
                <w:bCs/>
                <w:color w:val="000000"/>
              </w:rPr>
              <w:t>ультуры</w:t>
            </w:r>
            <w:proofErr w:type="spellEnd"/>
            <w:r w:rsidRPr="00D10614">
              <w:rPr>
                <w:bCs/>
                <w:color w:val="000000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C52F58" w:rsidRDefault="00326932" w:rsidP="00F21CA7">
            <w:r>
              <w:t>1675,5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326932" w:rsidP="00F21CA7">
            <w: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C52F58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1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083B6E" w:rsidRDefault="00326932" w:rsidP="00F21CA7">
            <w:pPr>
              <w:rPr>
                <w:b/>
                <w:bCs/>
                <w:color w:val="000000"/>
              </w:rPr>
            </w:pPr>
            <w:r w:rsidRPr="00083B6E">
              <w:rPr>
                <w:b/>
                <w:bCs/>
                <w:color w:val="000000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A0303A" w:rsidRDefault="00326932" w:rsidP="00F21CA7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Default="00326932" w:rsidP="00F21CA7">
            <w: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326932" w:rsidP="00F21CA7">
            <w: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Default="0016098D" w:rsidP="00F21CA7">
            <w:r>
              <w:t>0,0</w:t>
            </w:r>
          </w:p>
        </w:tc>
      </w:tr>
      <w:tr w:rsidR="00326932" w:rsidRPr="00C52F58" w:rsidTr="00326932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2" w:rsidRPr="00C52F58" w:rsidRDefault="00326932" w:rsidP="00F21CA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932" w:rsidRPr="0026176F" w:rsidRDefault="00326932" w:rsidP="00F21CA7">
            <w:pPr>
              <w:rPr>
                <w:b/>
              </w:rPr>
            </w:pPr>
            <w:r>
              <w:rPr>
                <w:b/>
              </w:rPr>
              <w:t>169984,4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26176F" w:rsidRDefault="0016098D" w:rsidP="00F21CA7">
            <w:pPr>
              <w:rPr>
                <w:b/>
              </w:rPr>
            </w:pPr>
            <w:r>
              <w:rPr>
                <w:b/>
              </w:rPr>
              <w:t>182066,8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932" w:rsidRPr="0026176F" w:rsidRDefault="0016098D" w:rsidP="00F21CA7">
            <w:pPr>
              <w:rPr>
                <w:b/>
              </w:rPr>
            </w:pPr>
            <w:r>
              <w:rPr>
                <w:b/>
              </w:rPr>
              <w:t>+12082,4</w:t>
            </w:r>
          </w:p>
        </w:tc>
      </w:tr>
    </w:tbl>
    <w:p w:rsidR="00FC10D2" w:rsidRDefault="00FC10D2" w:rsidP="00516CD4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</w:p>
    <w:p w:rsidR="00516CD4" w:rsidRPr="001F733E" w:rsidRDefault="00516CD4" w:rsidP="00516CD4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lastRenderedPageBreak/>
        <w:t xml:space="preserve">Изменение расходной  части бюджета связано с </w:t>
      </w:r>
      <w:r w:rsidR="00711E5C">
        <w:rPr>
          <w:sz w:val="24"/>
          <w:szCs w:val="24"/>
        </w:rPr>
        <w:t>корректировкой</w:t>
      </w:r>
      <w:r w:rsidRPr="001F733E">
        <w:rPr>
          <w:sz w:val="24"/>
          <w:szCs w:val="24"/>
        </w:rPr>
        <w:t xml:space="preserve">  бюджетных ассигнований  по раздел</w:t>
      </w:r>
      <w:r w:rsidR="00711E5C">
        <w:rPr>
          <w:sz w:val="24"/>
          <w:szCs w:val="24"/>
        </w:rPr>
        <w:t>ам «Общегосударственные расходы» и «Национальная экономика», а именно: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Default="000B185D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8B152A" w:rsidRPr="00E9441B">
        <w:rPr>
          <w:rFonts w:eastAsia="Times New Roman"/>
          <w:b/>
          <w:sz w:val="24"/>
          <w:szCs w:val="24"/>
        </w:rPr>
        <w:t>аздел 01 «Общегосударственные расходы»</w:t>
      </w:r>
      <w:r>
        <w:rPr>
          <w:rFonts w:eastAsia="Times New Roman"/>
          <w:b/>
          <w:sz w:val="24"/>
          <w:szCs w:val="24"/>
        </w:rPr>
        <w:t>.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Н</w:t>
      </w:r>
      <w:r w:rsidRPr="00E9441B">
        <w:rPr>
          <w:rFonts w:eastAsia="Times New Roman"/>
          <w:sz w:val="24"/>
          <w:szCs w:val="24"/>
        </w:rPr>
        <w:t xml:space="preserve">астоящим проектом </w:t>
      </w:r>
      <w:r>
        <w:rPr>
          <w:rFonts w:eastAsia="Times New Roman"/>
          <w:sz w:val="24"/>
          <w:szCs w:val="24"/>
        </w:rPr>
        <w:t xml:space="preserve">решения о </w:t>
      </w:r>
      <w:r w:rsidRPr="00E9441B">
        <w:rPr>
          <w:rFonts w:eastAsia="Times New Roman"/>
          <w:sz w:val="24"/>
          <w:szCs w:val="24"/>
        </w:rPr>
        <w:t>бюджет</w:t>
      </w:r>
      <w:r>
        <w:rPr>
          <w:rFonts w:eastAsia="Times New Roman"/>
          <w:sz w:val="24"/>
          <w:szCs w:val="24"/>
        </w:rPr>
        <w:t>е</w:t>
      </w:r>
      <w:r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объем расходов  на</w:t>
      </w:r>
      <w:r w:rsidR="00711E5C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202</w:t>
      </w:r>
      <w:r w:rsidR="00711E5C">
        <w:rPr>
          <w:rFonts w:eastAsia="Times New Roman"/>
          <w:sz w:val="24"/>
          <w:szCs w:val="24"/>
        </w:rPr>
        <w:t>2</w:t>
      </w:r>
      <w:r w:rsidR="008B152A" w:rsidRPr="00E9441B">
        <w:rPr>
          <w:rFonts w:eastAsia="Times New Roman"/>
          <w:sz w:val="24"/>
          <w:szCs w:val="24"/>
        </w:rPr>
        <w:t xml:space="preserve"> год </w:t>
      </w:r>
      <w:r w:rsidR="00660C40" w:rsidRPr="00E9441B">
        <w:rPr>
          <w:rFonts w:eastAsia="Times New Roman"/>
          <w:sz w:val="24"/>
          <w:szCs w:val="24"/>
        </w:rPr>
        <w:t>планируется утвердить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 w:rsidR="00711E5C">
        <w:rPr>
          <w:rFonts w:eastAsia="Times New Roman"/>
          <w:sz w:val="24"/>
          <w:szCs w:val="24"/>
        </w:rPr>
        <w:t>77339,7</w:t>
      </w:r>
      <w:r w:rsidR="008B152A"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</w:t>
      </w:r>
      <w:r w:rsidR="00711E5C">
        <w:rPr>
          <w:rFonts w:eastAsia="Times New Roman"/>
          <w:sz w:val="24"/>
          <w:szCs w:val="24"/>
        </w:rPr>
        <w:t>меньше</w:t>
      </w:r>
      <w:r w:rsidR="00660C40" w:rsidRPr="00E9441B">
        <w:rPr>
          <w:rFonts w:eastAsia="Times New Roman"/>
          <w:sz w:val="24"/>
          <w:szCs w:val="24"/>
        </w:rPr>
        <w:t xml:space="preserve"> на </w:t>
      </w:r>
      <w:r w:rsidR="00711E5C">
        <w:rPr>
          <w:rFonts w:eastAsia="Times New Roman"/>
          <w:sz w:val="24"/>
          <w:szCs w:val="24"/>
        </w:rPr>
        <w:t>1000</w:t>
      </w:r>
      <w:r w:rsidR="00660C40" w:rsidRPr="00E9441B">
        <w:rPr>
          <w:rFonts w:eastAsia="Times New Roman"/>
          <w:sz w:val="24"/>
          <w:szCs w:val="24"/>
        </w:rPr>
        <w:t>,0 тыс. рублей, чем утвержденный в первоначальной редакции</w:t>
      </w:r>
      <w:r>
        <w:rPr>
          <w:rFonts w:eastAsia="Times New Roman"/>
          <w:sz w:val="24"/>
          <w:szCs w:val="24"/>
        </w:rPr>
        <w:t xml:space="preserve">. </w:t>
      </w:r>
    </w:p>
    <w:p w:rsidR="000B185D" w:rsidRDefault="000B185D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Планируется сократить расходы на проведение выборов в 2022 году. Ранее была запланирована сумма 3000,0  тыс. рублей,  в связи с корректировкой сокращена до 2000,0 тыс. рублей.</w:t>
      </w:r>
    </w:p>
    <w:p w:rsidR="000B185D" w:rsidRPr="00E9441B" w:rsidRDefault="000B185D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Прочие расходы  по подразделам останутся без изменений.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304734">
        <w:rPr>
          <w:rFonts w:eastAsia="Times New Roman"/>
          <w:sz w:val="24"/>
          <w:szCs w:val="24"/>
        </w:rPr>
        <w:t>39069,5</w:t>
      </w:r>
      <w:r w:rsidR="00E80850" w:rsidRPr="00E9441B">
        <w:rPr>
          <w:rFonts w:eastAsia="Times New Roman"/>
          <w:sz w:val="24"/>
          <w:szCs w:val="24"/>
        </w:rPr>
        <w:t xml:space="preserve"> 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304734">
        <w:rPr>
          <w:rFonts w:eastAsia="Times New Roman"/>
          <w:sz w:val="24"/>
          <w:szCs w:val="24"/>
        </w:rPr>
        <w:t>13082,4</w:t>
      </w:r>
      <w:r w:rsidR="00E80850" w:rsidRPr="00E9441B">
        <w:rPr>
          <w:rFonts w:eastAsia="Times New Roman"/>
          <w:sz w:val="24"/>
          <w:szCs w:val="24"/>
        </w:rPr>
        <w:t xml:space="preserve"> тыс. рублей, что составит  </w:t>
      </w:r>
      <w:r w:rsidR="00304734">
        <w:rPr>
          <w:rFonts w:eastAsia="Times New Roman"/>
          <w:sz w:val="24"/>
          <w:szCs w:val="24"/>
        </w:rPr>
        <w:t>52151,9</w:t>
      </w:r>
      <w:r w:rsidR="00E808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652F51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175,3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652F51" w:rsidRPr="00E9441B">
        <w:rPr>
          <w:rFonts w:eastAsia="Times New Roman"/>
          <w:sz w:val="24"/>
          <w:szCs w:val="24"/>
        </w:rPr>
        <w:t xml:space="preserve">без изменений утверждаются </w:t>
      </w:r>
      <w:r w:rsidRPr="00DB6F0B">
        <w:rPr>
          <w:rFonts w:eastAsia="Times New Roman"/>
          <w:sz w:val="24"/>
          <w:szCs w:val="24"/>
        </w:rPr>
        <w:t>бюджетны</w:t>
      </w:r>
      <w:r w:rsidR="00652F51" w:rsidRPr="00E9441B">
        <w:rPr>
          <w:rFonts w:eastAsia="Times New Roman"/>
          <w:sz w:val="24"/>
          <w:szCs w:val="24"/>
        </w:rPr>
        <w:t>е</w:t>
      </w:r>
      <w:r w:rsidRPr="00DB6F0B">
        <w:rPr>
          <w:rFonts w:eastAsia="Times New Roman"/>
          <w:sz w:val="24"/>
          <w:szCs w:val="24"/>
        </w:rPr>
        <w:t xml:space="preserve"> ассигновани</w:t>
      </w:r>
      <w:r w:rsidR="00652F51" w:rsidRPr="00E9441B">
        <w:rPr>
          <w:rFonts w:eastAsia="Times New Roman"/>
          <w:sz w:val="24"/>
          <w:szCs w:val="24"/>
        </w:rPr>
        <w:t>я</w:t>
      </w:r>
      <w:r w:rsidRPr="00DB6F0B">
        <w:rPr>
          <w:rFonts w:eastAsia="Times New Roman"/>
          <w:sz w:val="24"/>
          <w:szCs w:val="24"/>
        </w:rPr>
        <w:t xml:space="preserve">  в сумме </w:t>
      </w:r>
      <w:r w:rsidR="00570144">
        <w:rPr>
          <w:rFonts w:eastAsia="Times New Roman"/>
          <w:sz w:val="24"/>
          <w:szCs w:val="24"/>
        </w:rPr>
        <w:t>612,4</w:t>
      </w:r>
      <w:r w:rsidRPr="00DB6F0B">
        <w:rPr>
          <w:rFonts w:eastAsia="Times New Roman"/>
          <w:sz w:val="24"/>
          <w:szCs w:val="24"/>
        </w:rPr>
        <w:t xml:space="preserve">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</w:t>
      </w:r>
      <w:r w:rsidR="00570144">
        <w:rPr>
          <w:rFonts w:eastAsia="Times New Roman"/>
          <w:sz w:val="24"/>
          <w:szCs w:val="24"/>
        </w:rPr>
        <w:t xml:space="preserve">плановый </w:t>
      </w:r>
      <w:r w:rsidRPr="00DB6F0B">
        <w:rPr>
          <w:rFonts w:eastAsia="Times New Roman"/>
          <w:sz w:val="24"/>
          <w:szCs w:val="24"/>
        </w:rPr>
        <w:t>202</w:t>
      </w:r>
      <w:r w:rsidR="00570144">
        <w:rPr>
          <w:rFonts w:eastAsia="Times New Roman"/>
          <w:sz w:val="24"/>
          <w:szCs w:val="24"/>
        </w:rPr>
        <w:t>2</w:t>
      </w:r>
      <w:r w:rsidRPr="00DB6F0B">
        <w:rPr>
          <w:rFonts w:eastAsia="Times New Roman"/>
          <w:sz w:val="24"/>
          <w:szCs w:val="24"/>
        </w:rPr>
        <w:t xml:space="preserve">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DE0309" w:rsidRPr="00E9441B">
        <w:rPr>
          <w:rFonts w:eastAsia="Times New Roman"/>
          <w:sz w:val="24"/>
          <w:szCs w:val="24"/>
        </w:rPr>
        <w:t xml:space="preserve">увеличить </w:t>
      </w:r>
      <w:r w:rsidRPr="00DB6F0B">
        <w:rPr>
          <w:rFonts w:eastAsia="Times New Roman"/>
          <w:sz w:val="24"/>
          <w:szCs w:val="24"/>
        </w:rPr>
        <w:t xml:space="preserve"> бюджетные ассигнования </w:t>
      </w:r>
      <w:r w:rsidR="00DE0309" w:rsidRPr="00E9441B">
        <w:rPr>
          <w:rFonts w:eastAsia="Times New Roman"/>
          <w:sz w:val="24"/>
          <w:szCs w:val="24"/>
        </w:rPr>
        <w:t xml:space="preserve">на </w:t>
      </w:r>
      <w:r w:rsidR="00570144">
        <w:rPr>
          <w:rFonts w:eastAsia="Times New Roman"/>
          <w:sz w:val="24"/>
          <w:szCs w:val="24"/>
        </w:rPr>
        <w:t>13082,4</w:t>
      </w:r>
      <w:r w:rsidR="00DE0309" w:rsidRPr="00E9441B">
        <w:rPr>
          <w:rFonts w:eastAsia="Times New Roman"/>
          <w:sz w:val="24"/>
          <w:szCs w:val="24"/>
        </w:rPr>
        <w:t xml:space="preserve"> тыс. рублей, что составит     </w:t>
      </w:r>
      <w:r w:rsidRPr="00DB6F0B">
        <w:rPr>
          <w:rFonts w:eastAsia="Times New Roman"/>
          <w:sz w:val="24"/>
          <w:szCs w:val="24"/>
        </w:rPr>
        <w:t>в</w:t>
      </w:r>
      <w:r w:rsidR="00DE0309" w:rsidRPr="00E9441B">
        <w:rPr>
          <w:rFonts w:eastAsia="Times New Roman"/>
          <w:sz w:val="24"/>
          <w:szCs w:val="24"/>
        </w:rPr>
        <w:t>сего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570144">
        <w:rPr>
          <w:rFonts w:eastAsia="Times New Roman"/>
          <w:sz w:val="24"/>
          <w:szCs w:val="24"/>
        </w:rPr>
        <w:t>33014,8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B2B64">
        <w:rPr>
          <w:rFonts w:eastAsia="Times New Roman"/>
          <w:sz w:val="24"/>
          <w:szCs w:val="24"/>
        </w:rPr>
        <w:t>, а именно:</w:t>
      </w:r>
    </w:p>
    <w:p w:rsidR="00DB6F0B" w:rsidRDefault="005800B6" w:rsidP="005800B6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B6F0B"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</w:t>
      </w:r>
      <w:r>
        <w:rPr>
          <w:rFonts w:eastAsia="Times New Roman"/>
          <w:sz w:val="24"/>
          <w:szCs w:val="24"/>
        </w:rPr>
        <w:t xml:space="preserve">на субсидию на выполнение муниципального задания </w:t>
      </w:r>
      <w:r w:rsidR="00693475" w:rsidRPr="00E9441B">
        <w:rPr>
          <w:rFonts w:eastAsia="Times New Roman"/>
          <w:sz w:val="24"/>
          <w:szCs w:val="24"/>
        </w:rPr>
        <w:t xml:space="preserve">требуется </w:t>
      </w:r>
      <w:r>
        <w:rPr>
          <w:rFonts w:eastAsia="Times New Roman"/>
          <w:sz w:val="24"/>
          <w:szCs w:val="24"/>
        </w:rPr>
        <w:t>утвердить (увеличить)</w:t>
      </w:r>
      <w:r w:rsidR="00693475" w:rsidRPr="00E9441B">
        <w:rPr>
          <w:rFonts w:eastAsia="Times New Roman"/>
          <w:sz w:val="24"/>
          <w:szCs w:val="24"/>
        </w:rPr>
        <w:t xml:space="preserve"> бюджетные ассигнования </w:t>
      </w:r>
      <w:r>
        <w:rPr>
          <w:rFonts w:eastAsia="Times New Roman"/>
          <w:sz w:val="24"/>
          <w:szCs w:val="24"/>
        </w:rPr>
        <w:t xml:space="preserve">в сумме 10495,2 тыс. рублей. </w:t>
      </w:r>
      <w:r w:rsidR="00596131">
        <w:rPr>
          <w:rFonts w:eastAsia="Times New Roman"/>
          <w:sz w:val="24"/>
          <w:szCs w:val="24"/>
        </w:rPr>
        <w:t xml:space="preserve"> </w:t>
      </w:r>
      <w:r w:rsidR="003A7C12">
        <w:rPr>
          <w:rFonts w:eastAsia="Times New Roman"/>
          <w:sz w:val="24"/>
          <w:szCs w:val="24"/>
        </w:rPr>
        <w:t xml:space="preserve">Сумма бюджетных ассигнований на субсидию </w:t>
      </w:r>
      <w:r w:rsidR="00596131">
        <w:rPr>
          <w:rFonts w:eastAsia="Times New Roman"/>
          <w:sz w:val="24"/>
          <w:szCs w:val="24"/>
        </w:rPr>
        <w:t>передвинута</w:t>
      </w:r>
      <w:r w:rsidR="003A7C12">
        <w:rPr>
          <w:rFonts w:eastAsia="Times New Roman"/>
          <w:sz w:val="24"/>
          <w:szCs w:val="24"/>
        </w:rPr>
        <w:t xml:space="preserve"> из непрограммных расходов в сумме </w:t>
      </w:r>
      <w:r>
        <w:rPr>
          <w:rFonts w:eastAsia="Times New Roman"/>
          <w:sz w:val="24"/>
          <w:szCs w:val="24"/>
        </w:rPr>
        <w:t xml:space="preserve"> </w:t>
      </w:r>
      <w:r w:rsidR="00596131">
        <w:rPr>
          <w:rFonts w:eastAsia="Times New Roman"/>
          <w:sz w:val="24"/>
          <w:szCs w:val="24"/>
        </w:rPr>
        <w:t>6607,6</w:t>
      </w:r>
      <w:r w:rsidR="003A7C12">
        <w:rPr>
          <w:rFonts w:eastAsia="Times New Roman"/>
          <w:sz w:val="24"/>
          <w:szCs w:val="24"/>
        </w:rPr>
        <w:t xml:space="preserve"> тыс. рублей и  программных, ранее утвержденных в сумме 3887,6 тыс. рублей. </w:t>
      </w:r>
      <w:r w:rsidR="0028486C">
        <w:rPr>
          <w:rFonts w:eastAsia="Times New Roman"/>
          <w:sz w:val="24"/>
          <w:szCs w:val="24"/>
        </w:rPr>
        <w:t xml:space="preserve"> </w:t>
      </w:r>
    </w:p>
    <w:p w:rsidR="005800B6" w:rsidRDefault="005800B6" w:rsidP="005800B6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8486C">
        <w:rPr>
          <w:rFonts w:eastAsia="Times New Roman"/>
          <w:sz w:val="24"/>
          <w:szCs w:val="24"/>
        </w:rPr>
        <w:t xml:space="preserve"> На непрограммные расходы в качестве капитальных вложений в объекты муниципальной собственности на разработку проектно-сметной документации (ПСД) капитального ремонта автомобильных дорог ул.  Индустриальная и  ул. Суворова</w:t>
      </w:r>
      <w:r w:rsidR="002A0AD7">
        <w:rPr>
          <w:rFonts w:eastAsia="Times New Roman"/>
          <w:sz w:val="24"/>
          <w:szCs w:val="24"/>
        </w:rPr>
        <w:t xml:space="preserve"> </w:t>
      </w:r>
      <w:r w:rsidR="002A0AD7">
        <w:rPr>
          <w:rFonts w:eastAsia="Times New Roman"/>
          <w:sz w:val="24"/>
          <w:szCs w:val="24"/>
        </w:rPr>
        <w:lastRenderedPageBreak/>
        <w:t>планируется увеличить бюджетные ассигнования на 13082,4 тыс. рублей, что составит 15030,9 тыс. рублей.</w:t>
      </w:r>
    </w:p>
    <w:p w:rsidR="005800B6" w:rsidRDefault="005800B6" w:rsidP="00C037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2EBD">
        <w:rPr>
          <w:rFonts w:eastAsia="Times New Roman"/>
          <w:sz w:val="24"/>
          <w:szCs w:val="24"/>
        </w:rPr>
        <w:t xml:space="preserve">Бюджетные ассигнования </w:t>
      </w:r>
      <w:r>
        <w:rPr>
          <w:rFonts w:eastAsia="Times New Roman"/>
          <w:sz w:val="24"/>
          <w:szCs w:val="24"/>
        </w:rPr>
        <w:t xml:space="preserve"> на реализацию мероприятий перечня народных инициатив</w:t>
      </w:r>
      <w:r w:rsidR="00C03752">
        <w:rPr>
          <w:rFonts w:eastAsia="Times New Roman"/>
          <w:sz w:val="24"/>
          <w:szCs w:val="24"/>
        </w:rPr>
        <w:t xml:space="preserve">  </w:t>
      </w:r>
      <w:r w:rsidR="00C03752" w:rsidRPr="00C03752">
        <w:rPr>
          <w:rFonts w:eastAsia="Times New Roman"/>
          <w:sz w:val="24"/>
          <w:szCs w:val="24"/>
        </w:rPr>
        <w:t xml:space="preserve">за счет субсидии из областного бюджета и </w:t>
      </w:r>
      <w:proofErr w:type="spellStart"/>
      <w:r w:rsidR="00C03752" w:rsidRPr="00C03752">
        <w:rPr>
          <w:rFonts w:eastAsia="Times New Roman"/>
          <w:sz w:val="24"/>
          <w:szCs w:val="24"/>
        </w:rPr>
        <w:t>софинансирования</w:t>
      </w:r>
      <w:proofErr w:type="spellEnd"/>
      <w:r w:rsidR="00C03752" w:rsidRPr="00C03752">
        <w:rPr>
          <w:rFonts w:eastAsia="Times New Roman"/>
          <w:sz w:val="24"/>
          <w:szCs w:val="24"/>
        </w:rPr>
        <w:t xml:space="preserve"> местного бюджета </w:t>
      </w:r>
      <w:r w:rsidR="00C0375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 изменений утвержда</w:t>
      </w:r>
      <w:r w:rsidR="00A52EBD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 в сумме 7488,7 тыс. рублей.</w:t>
      </w:r>
    </w:p>
    <w:p w:rsidR="005800B6" w:rsidRPr="00A0620C" w:rsidRDefault="005800B6" w:rsidP="005800B6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8E1F91">
        <w:rPr>
          <w:rFonts w:eastAsia="Times New Roman"/>
          <w:sz w:val="24"/>
          <w:szCs w:val="24"/>
        </w:rPr>
        <w:t>без изменений</w:t>
      </w:r>
      <w:r w:rsidR="000F6F50" w:rsidRPr="00E9441B">
        <w:rPr>
          <w:rFonts w:eastAsia="Times New Roman"/>
          <w:sz w:val="24"/>
          <w:szCs w:val="24"/>
        </w:rPr>
        <w:t xml:space="preserve"> состав</w:t>
      </w:r>
      <w:r w:rsidR="008E1F91">
        <w:rPr>
          <w:rFonts w:eastAsia="Times New Roman"/>
          <w:sz w:val="24"/>
          <w:szCs w:val="24"/>
        </w:rPr>
        <w:t>ят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8E1F91">
        <w:rPr>
          <w:rFonts w:eastAsia="Times New Roman"/>
          <w:sz w:val="24"/>
          <w:szCs w:val="24"/>
        </w:rPr>
        <w:t>781,2</w:t>
      </w:r>
      <w:r w:rsidR="000F6F50" w:rsidRPr="00E9441B">
        <w:rPr>
          <w:rFonts w:eastAsia="Times New Roman"/>
          <w:sz w:val="24"/>
          <w:szCs w:val="24"/>
        </w:rPr>
        <w:t xml:space="preserve"> тыс. рублей:</w:t>
      </w:r>
    </w:p>
    <w:p w:rsidR="0012608E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>по</w:t>
      </w:r>
      <w:r w:rsidR="00B82CF9" w:rsidRPr="00E9441B">
        <w:rPr>
          <w:rFonts w:eastAsia="Times New Roman"/>
          <w:sz w:val="24"/>
          <w:szCs w:val="24"/>
        </w:rPr>
        <w:t>-</w:t>
      </w:r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="00DB6F0B"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</w:t>
      </w:r>
    </w:p>
    <w:p w:rsidR="0012608E" w:rsidRDefault="0012608E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утверждаются в прежнем размере  </w:t>
      </w:r>
      <w:r w:rsidRPr="00DB6F0B">
        <w:rPr>
          <w:rFonts w:eastAsia="Times New Roman"/>
          <w:sz w:val="24"/>
          <w:szCs w:val="24"/>
        </w:rPr>
        <w:t xml:space="preserve"> 463,0 тыс. рублей, в том числе: на обновление минерализованной полосы – 120,0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тыс. рублей.</w:t>
      </w:r>
      <w:proofErr w:type="gramEnd"/>
    </w:p>
    <w:p w:rsidR="00FB2B64" w:rsidRPr="00DB6F0B" w:rsidRDefault="00FB2B64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 </w:t>
      </w:r>
      <w:r w:rsidR="000F6F50" w:rsidRPr="00E9441B">
        <w:rPr>
          <w:rFonts w:eastAsia="Times New Roman"/>
          <w:sz w:val="24"/>
          <w:szCs w:val="24"/>
        </w:rPr>
        <w:t>без изменений утверждается</w:t>
      </w:r>
      <w:r w:rsidRPr="00DB6F0B">
        <w:rPr>
          <w:rFonts w:eastAsia="Times New Roman"/>
          <w:sz w:val="24"/>
          <w:szCs w:val="24"/>
        </w:rPr>
        <w:t xml:space="preserve"> 68,2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 – 52,2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 xml:space="preserve">объем бюджетных ассигнований   на </w:t>
      </w:r>
      <w:r w:rsidR="0012608E">
        <w:rPr>
          <w:rFonts w:eastAsia="Times New Roman"/>
          <w:sz w:val="24"/>
          <w:szCs w:val="24"/>
        </w:rPr>
        <w:t xml:space="preserve">плановый </w:t>
      </w:r>
      <w:r w:rsidRPr="00B82CF9">
        <w:rPr>
          <w:rFonts w:eastAsia="Times New Roman"/>
          <w:sz w:val="24"/>
          <w:szCs w:val="24"/>
        </w:rPr>
        <w:t>202</w:t>
      </w:r>
      <w:r w:rsidR="0012608E">
        <w:rPr>
          <w:rFonts w:eastAsia="Times New Roman"/>
          <w:sz w:val="24"/>
          <w:szCs w:val="24"/>
        </w:rPr>
        <w:t>2</w:t>
      </w:r>
      <w:r w:rsidRPr="00B82CF9">
        <w:rPr>
          <w:rFonts w:eastAsia="Times New Roman"/>
          <w:sz w:val="24"/>
          <w:szCs w:val="24"/>
        </w:rPr>
        <w:t xml:space="preserve"> год</w:t>
      </w:r>
      <w:r w:rsidR="0012608E">
        <w:rPr>
          <w:rFonts w:eastAsia="Times New Roman"/>
          <w:sz w:val="24"/>
          <w:szCs w:val="24"/>
        </w:rPr>
        <w:t xml:space="preserve"> утверждается без изменений в сумме 11758,0 тыс. рублей, в том числе:</w:t>
      </w:r>
      <w:r w:rsidRPr="00B82CF9">
        <w:rPr>
          <w:rFonts w:eastAsia="Times New Roman"/>
          <w:sz w:val="24"/>
          <w:szCs w:val="24"/>
        </w:rPr>
        <w:tab/>
      </w:r>
    </w:p>
    <w:p w:rsidR="00B82CF9" w:rsidRDefault="0012608E" w:rsidP="0012608E">
      <w:p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п</w:t>
      </w:r>
      <w:r w:rsidR="00B82CF9" w:rsidRPr="00B82CF9">
        <w:rPr>
          <w:rFonts w:eastAsia="Times New Roman"/>
          <w:sz w:val="24"/>
          <w:szCs w:val="24"/>
        </w:rPr>
        <w:t>о  подразделу</w:t>
      </w:r>
      <w:r w:rsidR="00B82CF9"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B82CF9" w:rsidRPr="00E9441B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-</w:t>
      </w:r>
      <w:r w:rsidR="00030B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1804,0 тыс. рублей</w:t>
      </w:r>
      <w:r w:rsidR="00030BC1">
        <w:rPr>
          <w:rFonts w:eastAsia="Times New Roman"/>
          <w:sz w:val="24"/>
          <w:szCs w:val="24"/>
        </w:rPr>
        <w:t>, в том числе н</w:t>
      </w:r>
      <w:r>
        <w:rPr>
          <w:rFonts w:eastAsia="Times New Roman"/>
          <w:sz w:val="24"/>
          <w:szCs w:val="24"/>
        </w:rPr>
        <w:t xml:space="preserve">а реализацию мероприятий муниципальной программы (МП) «Энергосбережение» </w:t>
      </w:r>
      <w:r w:rsidR="00030BC1">
        <w:rPr>
          <w:rFonts w:eastAsia="Times New Roman"/>
          <w:sz w:val="24"/>
          <w:szCs w:val="24"/>
        </w:rPr>
        <w:t xml:space="preserve">ранее утверждено </w:t>
      </w:r>
      <w:r>
        <w:rPr>
          <w:rFonts w:eastAsia="Times New Roman"/>
          <w:sz w:val="24"/>
          <w:szCs w:val="24"/>
        </w:rPr>
        <w:t xml:space="preserve">150,0 тыс. </w:t>
      </w:r>
      <w:r w:rsidR="00030BC1">
        <w:rPr>
          <w:rFonts w:eastAsia="Times New Roman"/>
          <w:sz w:val="24"/>
          <w:szCs w:val="24"/>
        </w:rPr>
        <w:t>рублей, на МП «Развитие и модернизация  объектов коммунальной инфраструктуры» - 1404,0 тыс. рублей, на МП «Социальная поддержка  населения и организаций» - 250,0 тыс. рублей.</w:t>
      </w:r>
      <w:proofErr w:type="gramEnd"/>
    </w:p>
    <w:p w:rsidR="0012608E" w:rsidRDefault="0012608E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12608E" w:rsidRDefault="0012608E" w:rsidP="00030BC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 подразделу  </w:t>
      </w:r>
      <w:r w:rsidR="00B82CF9" w:rsidRPr="00B82CF9">
        <w:rPr>
          <w:rFonts w:eastAsia="Times New Roman"/>
          <w:b/>
          <w:sz w:val="24"/>
          <w:szCs w:val="24"/>
        </w:rPr>
        <w:t>«Коммунальное хозяйство»</w:t>
      </w:r>
      <w:r>
        <w:rPr>
          <w:rFonts w:eastAsia="Times New Roman"/>
          <w:b/>
          <w:sz w:val="24"/>
          <w:szCs w:val="24"/>
        </w:rPr>
        <w:t xml:space="preserve"> -</w:t>
      </w:r>
      <w:r w:rsidR="00B82CF9" w:rsidRPr="00B82CF9">
        <w:rPr>
          <w:rFonts w:eastAsia="Times New Roman"/>
          <w:b/>
          <w:sz w:val="24"/>
          <w:szCs w:val="24"/>
        </w:rPr>
        <w:t xml:space="preserve"> 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800,0</w:t>
      </w:r>
      <w:r w:rsidR="00050EA8" w:rsidRPr="00E9441B">
        <w:rPr>
          <w:rFonts w:eastAsia="Times New Roman"/>
          <w:sz w:val="24"/>
          <w:szCs w:val="24"/>
        </w:rPr>
        <w:t xml:space="preserve"> тыс. рублей</w:t>
      </w:r>
      <w:r w:rsidR="00030BC1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 объектов коммунальной инфраструктуры».</w:t>
      </w:r>
    </w:p>
    <w:p w:rsidR="00030BC1" w:rsidRDefault="00030BC1" w:rsidP="00030BC1">
      <w:pPr>
        <w:jc w:val="both"/>
        <w:rPr>
          <w:rFonts w:eastAsia="Times New Roman"/>
          <w:sz w:val="24"/>
          <w:szCs w:val="24"/>
        </w:rPr>
      </w:pPr>
    </w:p>
    <w:p w:rsidR="00B82CF9" w:rsidRDefault="0012608E" w:rsidP="00030BC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 подразделу </w:t>
      </w:r>
      <w:r w:rsidRPr="0012608E">
        <w:rPr>
          <w:rFonts w:eastAsia="Times New Roman"/>
          <w:b/>
          <w:sz w:val="24"/>
          <w:szCs w:val="24"/>
        </w:rPr>
        <w:t>«Благоустройство»</w:t>
      </w:r>
      <w:r w:rsidR="00842036" w:rsidRPr="0012608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</w:t>
      </w:r>
      <w:r w:rsidRPr="0012608E">
        <w:rPr>
          <w:rFonts w:eastAsia="Times New Roman"/>
          <w:sz w:val="24"/>
          <w:szCs w:val="24"/>
        </w:rPr>
        <w:t>-  9154,0 – тыс. рублей</w:t>
      </w:r>
      <w:r w:rsidR="00030BC1">
        <w:rPr>
          <w:rFonts w:eastAsia="Times New Roman"/>
          <w:sz w:val="24"/>
          <w:szCs w:val="24"/>
        </w:rPr>
        <w:t>, в том числе на реализацию МП «Благоустройство</w:t>
      </w:r>
      <w:r w:rsidR="00B3668D">
        <w:rPr>
          <w:rFonts w:eastAsia="Times New Roman"/>
          <w:sz w:val="24"/>
          <w:szCs w:val="24"/>
        </w:rPr>
        <w:t xml:space="preserve"> территории </w:t>
      </w:r>
      <w:proofErr w:type="spellStart"/>
      <w:r w:rsidR="00B3668D">
        <w:rPr>
          <w:rFonts w:eastAsia="Times New Roman"/>
          <w:sz w:val="24"/>
          <w:szCs w:val="24"/>
        </w:rPr>
        <w:t>Тайшетского</w:t>
      </w:r>
      <w:proofErr w:type="spellEnd"/>
      <w:r w:rsidR="00B3668D">
        <w:rPr>
          <w:rFonts w:eastAsia="Times New Roman"/>
          <w:sz w:val="24"/>
          <w:szCs w:val="24"/>
        </w:rPr>
        <w:t xml:space="preserve"> городского поселения</w:t>
      </w:r>
      <w:r w:rsidR="00030BC1">
        <w:rPr>
          <w:rFonts w:eastAsia="Times New Roman"/>
          <w:sz w:val="24"/>
          <w:szCs w:val="24"/>
        </w:rPr>
        <w:t xml:space="preserve">» - 8541,6 тыс. рублей, на непрограммные расходы в области благоустройства – 612,4 тыс. </w:t>
      </w:r>
      <w:r w:rsidR="0048544B">
        <w:rPr>
          <w:rFonts w:eastAsia="Times New Roman"/>
          <w:sz w:val="24"/>
          <w:szCs w:val="24"/>
        </w:rPr>
        <w:t>рублей.</w:t>
      </w:r>
    </w:p>
    <w:p w:rsidR="0012608E" w:rsidRDefault="0012608E" w:rsidP="0012608E">
      <w:pPr>
        <w:ind w:firstLine="708"/>
        <w:jc w:val="both"/>
        <w:rPr>
          <w:rFonts w:eastAsia="Times New Roman"/>
          <w:sz w:val="24"/>
          <w:szCs w:val="24"/>
        </w:rPr>
      </w:pPr>
    </w:p>
    <w:p w:rsidR="003217AA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</w:t>
      </w:r>
      <w:r w:rsidR="003217AA">
        <w:rPr>
          <w:rFonts w:eastAsia="Times New Roman"/>
          <w:sz w:val="24"/>
          <w:szCs w:val="24"/>
        </w:rPr>
        <w:t>588,8</w:t>
      </w:r>
      <w:r w:rsidRPr="00B82CF9">
        <w:rPr>
          <w:rFonts w:eastAsia="Times New Roman"/>
          <w:sz w:val="24"/>
          <w:szCs w:val="24"/>
        </w:rPr>
        <w:t xml:space="preserve">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</w:t>
      </w:r>
      <w:r w:rsidR="003217AA">
        <w:rPr>
          <w:rFonts w:eastAsia="Times New Roman"/>
          <w:sz w:val="24"/>
          <w:szCs w:val="24"/>
        </w:rPr>
        <w:t>.</w:t>
      </w:r>
    </w:p>
    <w:p w:rsidR="001E7BDA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сумме  589,0 тыс. рублей</w:t>
      </w:r>
      <w:r w:rsidR="003217AA">
        <w:rPr>
          <w:rFonts w:eastAsia="Times New Roman"/>
          <w:sz w:val="24"/>
          <w:szCs w:val="24"/>
        </w:rPr>
        <w:t>.</w:t>
      </w:r>
      <w:r w:rsidRPr="00B82CF9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lastRenderedPageBreak/>
        <w:t>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организацию досуга и активного отдыха  молодежи –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Мероприятия, направленные на гражданско-патриотическое воспитание молодежи – 307,0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 xml:space="preserve">без изменений  утверждаются бюджетные ассигнования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3217AA">
        <w:rPr>
          <w:rFonts w:eastAsia="Times New Roman"/>
          <w:sz w:val="24"/>
          <w:szCs w:val="24"/>
        </w:rPr>
        <w:t>17556,2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«Сохранение и развитие культуры в Тайшетском городском поселении» - 1645,0 тыс. рублей. </w:t>
      </w:r>
      <w:proofErr w:type="gramStart"/>
      <w:r w:rsidRPr="00B82CF9">
        <w:rPr>
          <w:rFonts w:eastAsia="Times New Roman"/>
          <w:sz w:val="24"/>
          <w:szCs w:val="24"/>
        </w:rPr>
        <w:t xml:space="preserve">Мероприятия программы  предусматривают  затраты, связанные с проведением  праздников, культурно-массовых мероприятий для жителей города (мероприятия посвященные Дню воинской славы России,  </w:t>
      </w:r>
      <w:proofErr w:type="spellStart"/>
      <w:r w:rsidRPr="00B82CF9">
        <w:rPr>
          <w:rFonts w:eastAsia="Times New Roman"/>
          <w:sz w:val="24"/>
          <w:szCs w:val="24"/>
        </w:rPr>
        <w:t>Масленница</w:t>
      </w:r>
      <w:proofErr w:type="spellEnd"/>
      <w:r w:rsidRPr="00B82CF9">
        <w:rPr>
          <w:rFonts w:eastAsia="Times New Roman"/>
          <w:sz w:val="24"/>
          <w:szCs w:val="24"/>
        </w:rPr>
        <w:t>, празднование  1 Мая и Дня Победы, День защиты детей, Городской конкурс «Семья года г. Тайшета», мероприятия к празднованию Дня города,  организация ярмарки Праздник квашеной капусты»,  проведение новогодних и рождественских праздников):</w:t>
      </w:r>
      <w:proofErr w:type="gramEnd"/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Услуги по оформлению и проведению мероприятий – 1305,0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-240,0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</w:t>
      </w:r>
      <w:r w:rsidR="003217AA">
        <w:rPr>
          <w:rFonts w:eastAsia="Times New Roman"/>
          <w:sz w:val="24"/>
          <w:szCs w:val="24"/>
        </w:rPr>
        <w:t>2</w:t>
      </w:r>
      <w:r w:rsidRPr="00B82CF9">
        <w:rPr>
          <w:rFonts w:eastAsia="Times New Roman"/>
          <w:sz w:val="24"/>
          <w:szCs w:val="24"/>
        </w:rPr>
        <w:t xml:space="preserve"> году – </w:t>
      </w:r>
      <w:r w:rsidR="003217AA">
        <w:rPr>
          <w:rFonts w:eastAsia="Times New Roman"/>
          <w:sz w:val="24"/>
          <w:szCs w:val="24"/>
        </w:rPr>
        <w:t>15911,2</w:t>
      </w:r>
      <w:r w:rsidRPr="00B82CF9">
        <w:rPr>
          <w:rFonts w:eastAsia="Times New Roman"/>
          <w:sz w:val="24"/>
          <w:szCs w:val="24"/>
        </w:rPr>
        <w:t xml:space="preserve"> тыс. рублей, в том числе: выплаты </w:t>
      </w:r>
      <w:r w:rsidR="003217AA">
        <w:rPr>
          <w:rFonts w:eastAsia="Times New Roman"/>
          <w:sz w:val="24"/>
          <w:szCs w:val="24"/>
        </w:rPr>
        <w:t xml:space="preserve">персоналу и отчисления во внебюджетные фонды </w:t>
      </w:r>
      <w:r w:rsidRPr="00B82CF9">
        <w:rPr>
          <w:rFonts w:eastAsia="Times New Roman"/>
          <w:sz w:val="24"/>
          <w:szCs w:val="24"/>
        </w:rPr>
        <w:t xml:space="preserve">- </w:t>
      </w:r>
      <w:r w:rsidR="003217AA">
        <w:rPr>
          <w:rFonts w:eastAsia="Times New Roman"/>
          <w:sz w:val="24"/>
          <w:szCs w:val="24"/>
        </w:rPr>
        <w:t>12209,8 тыс. рублей.</w:t>
      </w:r>
      <w:r w:rsidRPr="00B82CF9">
        <w:rPr>
          <w:rFonts w:eastAsia="Times New Roman"/>
          <w:sz w:val="24"/>
          <w:szCs w:val="24"/>
        </w:rPr>
        <w:t xml:space="preserve"> </w:t>
      </w:r>
    </w:p>
    <w:p w:rsidR="003217AA" w:rsidRPr="00B82CF9" w:rsidRDefault="003217A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4913AA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 xml:space="preserve">бюджетные ассигнования  </w:t>
      </w:r>
      <w:r w:rsidR="003217AA">
        <w:rPr>
          <w:rFonts w:eastAsia="Times New Roman"/>
          <w:sz w:val="24"/>
          <w:szCs w:val="24"/>
        </w:rPr>
        <w:t xml:space="preserve">без изменений </w:t>
      </w:r>
      <w:r w:rsidR="004913AA">
        <w:rPr>
          <w:rFonts w:eastAsia="Times New Roman"/>
          <w:sz w:val="24"/>
          <w:szCs w:val="24"/>
        </w:rPr>
        <w:t>утверждаются в сумме</w:t>
      </w:r>
      <w:r w:rsidR="003217AA">
        <w:rPr>
          <w:rFonts w:eastAsia="Times New Roman"/>
          <w:sz w:val="24"/>
          <w:szCs w:val="24"/>
        </w:rPr>
        <w:t xml:space="preserve"> 7634,0</w:t>
      </w:r>
      <w:r w:rsidR="005E540E" w:rsidRPr="00E9441B">
        <w:rPr>
          <w:rFonts w:eastAsia="Times New Roman"/>
          <w:sz w:val="24"/>
          <w:szCs w:val="24"/>
        </w:rPr>
        <w:t xml:space="preserve"> тыс. рублей</w:t>
      </w:r>
      <w:r w:rsidR="004913AA">
        <w:rPr>
          <w:rFonts w:eastAsia="Times New Roman"/>
          <w:sz w:val="24"/>
          <w:szCs w:val="24"/>
        </w:rPr>
        <w:t xml:space="preserve">,  в том числе: </w:t>
      </w:r>
      <w:r w:rsidR="005E540E" w:rsidRPr="00E9441B">
        <w:rPr>
          <w:rFonts w:eastAsia="Times New Roman"/>
          <w:sz w:val="24"/>
          <w:szCs w:val="24"/>
        </w:rPr>
        <w:t xml:space="preserve"> на  реализацию муниципальной программы «Молодым семьям  - доступное жилье»</w:t>
      </w:r>
      <w:r w:rsidR="004913AA">
        <w:rPr>
          <w:rFonts w:eastAsia="Times New Roman"/>
          <w:sz w:val="24"/>
          <w:szCs w:val="24"/>
        </w:rPr>
        <w:t xml:space="preserve"> - 1860,0 тыс. рублей, 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«Социальная поддержка отдельных категорий населения и общественных организаций»  в объеме  </w:t>
      </w:r>
      <w:r w:rsidR="004913AA">
        <w:rPr>
          <w:rFonts w:eastAsia="Times New Roman"/>
          <w:sz w:val="24"/>
          <w:szCs w:val="24"/>
        </w:rPr>
        <w:t xml:space="preserve">774,0 тыс. рублей.  </w:t>
      </w: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E91F34" w:rsidRPr="00E9441B">
        <w:rPr>
          <w:rFonts w:eastAsia="Times New Roman"/>
          <w:sz w:val="24"/>
          <w:szCs w:val="24"/>
        </w:rPr>
        <w:t>без изменений утверждаются</w:t>
      </w:r>
      <w:r w:rsidRPr="00B82CF9">
        <w:rPr>
          <w:rFonts w:eastAsia="Times New Roman"/>
          <w:sz w:val="24"/>
          <w:szCs w:val="24"/>
        </w:rPr>
        <w:t xml:space="preserve"> бюджетные ассигнования в объеме 14046,5 тыс. рублей,  в том числе  на содержание МКУ КСЦ «Сибирь» –12371,0 тыс. рублей, в том числе: на выплат</w:t>
      </w:r>
      <w:r w:rsidR="004913AA">
        <w:rPr>
          <w:rFonts w:eastAsia="Times New Roman"/>
          <w:sz w:val="24"/>
          <w:szCs w:val="24"/>
        </w:rPr>
        <w:t>ы</w:t>
      </w:r>
      <w:r w:rsidRPr="00B82CF9">
        <w:rPr>
          <w:rFonts w:eastAsia="Times New Roman"/>
          <w:sz w:val="24"/>
          <w:szCs w:val="24"/>
        </w:rPr>
        <w:t xml:space="preserve"> </w:t>
      </w:r>
      <w:r w:rsidR="004913AA">
        <w:rPr>
          <w:rFonts w:eastAsia="Times New Roman"/>
          <w:sz w:val="24"/>
          <w:szCs w:val="24"/>
        </w:rPr>
        <w:t>персоналу и  отчисления в фонды</w:t>
      </w:r>
      <w:r w:rsidRPr="00B82CF9">
        <w:rPr>
          <w:rFonts w:eastAsia="Times New Roman"/>
          <w:sz w:val="24"/>
          <w:szCs w:val="24"/>
        </w:rPr>
        <w:t xml:space="preserve"> – </w:t>
      </w:r>
      <w:r w:rsidR="004913AA">
        <w:rPr>
          <w:rFonts w:eastAsia="Times New Roman"/>
          <w:sz w:val="24"/>
          <w:szCs w:val="24"/>
        </w:rPr>
        <w:t>10966,4</w:t>
      </w:r>
      <w:r w:rsidRPr="00B82CF9">
        <w:rPr>
          <w:rFonts w:eastAsia="Times New Roman"/>
          <w:sz w:val="24"/>
          <w:szCs w:val="24"/>
        </w:rPr>
        <w:t xml:space="preserve"> тыс. руб., </w:t>
      </w:r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</w:t>
      </w:r>
      <w:r w:rsidR="00B82CF9" w:rsidRPr="00B82CF9">
        <w:rPr>
          <w:rFonts w:eastAsia="Times New Roman"/>
          <w:sz w:val="24"/>
          <w:szCs w:val="24"/>
        </w:rPr>
        <w:t>бюджетные ассигнования раздела 1102 направлены на реализацию муниципальной программы  «Развитие физкультуры и спорта на территории ТГП» в сумме 1675,5 тыс. рублей ежегодно: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Участие сборных команд в областных и прочих спортивных соревнованиях – 175,0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Услуги по  оформлению и проведению  спортивных мероприятий – 197,3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>Строительство, реконструкция и ремонт спортивных сооружений – 695,5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формы,  спортивного инвентаря – 268,7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4913AA">
        <w:rPr>
          <w:sz w:val="24"/>
          <w:szCs w:val="24"/>
        </w:rPr>
        <w:t>1,4</w:t>
      </w:r>
      <w:r w:rsidR="00E46C1D" w:rsidRPr="00E9441B">
        <w:rPr>
          <w:sz w:val="24"/>
          <w:szCs w:val="24"/>
        </w:rPr>
        <w:t xml:space="preserve"> тыс. рублей.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</w:t>
      </w:r>
      <w:r w:rsidR="00E25488">
        <w:rPr>
          <w:sz w:val="24"/>
          <w:szCs w:val="24"/>
        </w:rPr>
        <w:t>25</w:t>
      </w:r>
      <w:r w:rsidR="007D79EE" w:rsidRPr="007D79EE">
        <w:rPr>
          <w:sz w:val="24"/>
          <w:szCs w:val="24"/>
        </w:rPr>
        <w:t xml:space="preserve">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>Положение</w:t>
      </w:r>
      <w:r w:rsidR="00E25488">
        <w:rPr>
          <w:sz w:val="24"/>
          <w:szCs w:val="24"/>
        </w:rPr>
        <w:t>м</w:t>
      </w:r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</w:t>
      </w:r>
      <w:proofErr w:type="gramEnd"/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муниципальном </w:t>
      </w:r>
      <w:proofErr w:type="gramStart"/>
      <w:r w:rsidRPr="00F63807">
        <w:rPr>
          <w:sz w:val="24"/>
          <w:szCs w:val="24"/>
        </w:rPr>
        <w:t>образовании</w:t>
      </w:r>
      <w:proofErr w:type="gramEnd"/>
      <w:r w:rsidRPr="00F638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="00E25488">
        <w:rPr>
          <w:sz w:val="24"/>
          <w:szCs w:val="24"/>
        </w:rPr>
        <w:t xml:space="preserve">», </w:t>
      </w:r>
      <w:r w:rsidRPr="00F63807">
        <w:rPr>
          <w:sz w:val="24"/>
          <w:szCs w:val="24"/>
        </w:rPr>
        <w:t>Положение</w:t>
      </w:r>
      <w:r w:rsidR="00E25488">
        <w:rPr>
          <w:sz w:val="24"/>
          <w:szCs w:val="24"/>
        </w:rPr>
        <w:t>м</w:t>
      </w:r>
      <w:r w:rsidRPr="00F63807">
        <w:rPr>
          <w:sz w:val="24"/>
          <w:szCs w:val="24"/>
        </w:rPr>
        <w:t xml:space="preserve">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E25488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и ины</w:t>
      </w:r>
      <w:r w:rsidR="00E25488">
        <w:rPr>
          <w:sz w:val="24"/>
          <w:szCs w:val="24"/>
        </w:rPr>
        <w:t>ми</w:t>
      </w:r>
      <w:r w:rsidRPr="00F63807">
        <w:rPr>
          <w:sz w:val="24"/>
          <w:szCs w:val="24"/>
        </w:rPr>
        <w:t xml:space="preserve"> нормативн</w:t>
      </w:r>
      <w:r w:rsidR="00E25488">
        <w:rPr>
          <w:sz w:val="24"/>
          <w:szCs w:val="24"/>
        </w:rPr>
        <w:t>о-</w:t>
      </w:r>
      <w:r w:rsidRPr="00F63807">
        <w:rPr>
          <w:sz w:val="24"/>
          <w:szCs w:val="24"/>
        </w:rPr>
        <w:t>правовы</w:t>
      </w:r>
      <w:r w:rsidR="00E25488">
        <w:rPr>
          <w:sz w:val="24"/>
          <w:szCs w:val="24"/>
        </w:rPr>
        <w:t>ми</w:t>
      </w:r>
      <w:r w:rsidRPr="00F63807">
        <w:rPr>
          <w:sz w:val="24"/>
          <w:szCs w:val="24"/>
        </w:rPr>
        <w:t xml:space="preserve"> акт</w:t>
      </w:r>
      <w:r w:rsidR="00E25488">
        <w:rPr>
          <w:sz w:val="24"/>
          <w:szCs w:val="24"/>
        </w:rPr>
        <w:t>ами.</w:t>
      </w:r>
    </w:p>
    <w:p w:rsidR="007D79EE" w:rsidRDefault="00516CD4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5360" w:rsidRPr="00FC56AC" w:rsidRDefault="00516CD4" w:rsidP="00BA5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5360"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BA5360" w:rsidRPr="00FC56AC">
        <w:rPr>
          <w:sz w:val="24"/>
          <w:szCs w:val="24"/>
        </w:rPr>
        <w:t>Тайшетского</w:t>
      </w:r>
      <w:proofErr w:type="spellEnd"/>
      <w:r w:rsidR="00BA5360" w:rsidRPr="00FC56AC">
        <w:rPr>
          <w:sz w:val="24"/>
          <w:szCs w:val="24"/>
        </w:rPr>
        <w:t xml:space="preserve"> городского поселения на</w:t>
      </w:r>
      <w:r w:rsidR="00BA5360">
        <w:rPr>
          <w:sz w:val="24"/>
          <w:szCs w:val="24"/>
        </w:rPr>
        <w:t xml:space="preserve"> плановый</w:t>
      </w:r>
      <w:r w:rsidR="00BA5360" w:rsidRPr="00FC56AC">
        <w:rPr>
          <w:sz w:val="24"/>
          <w:szCs w:val="24"/>
        </w:rPr>
        <w:t xml:space="preserve"> 20</w:t>
      </w:r>
      <w:r w:rsidR="00BA5360">
        <w:rPr>
          <w:sz w:val="24"/>
          <w:szCs w:val="24"/>
        </w:rPr>
        <w:t>22</w:t>
      </w:r>
      <w:r w:rsidR="00BA5360" w:rsidRPr="00FC56AC">
        <w:rPr>
          <w:sz w:val="24"/>
          <w:szCs w:val="24"/>
        </w:rPr>
        <w:t xml:space="preserve"> год:</w:t>
      </w:r>
    </w:p>
    <w:p w:rsidR="00BA5360" w:rsidRDefault="00BA5360" w:rsidP="00BA5360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 167570,3  тыс. рублей, что выше ранее утвержденного показателя на 5200,0 тыс. рублей,  или на  3,2%.;</w:t>
      </w:r>
    </w:p>
    <w:p w:rsidR="00BA5360" w:rsidRPr="00FC56AC" w:rsidRDefault="00BA5360" w:rsidP="00BA5360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 182066,8 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>
        <w:rPr>
          <w:sz w:val="24"/>
          <w:szCs w:val="24"/>
        </w:rPr>
        <w:t xml:space="preserve">12082,4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7,1%</w:t>
      </w:r>
      <w:r w:rsidRPr="00FC56AC">
        <w:rPr>
          <w:sz w:val="24"/>
          <w:szCs w:val="24"/>
        </w:rPr>
        <w:t>;</w:t>
      </w:r>
    </w:p>
    <w:p w:rsidR="00BA5360" w:rsidRDefault="00BA5360" w:rsidP="00BA5360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>
        <w:rPr>
          <w:sz w:val="24"/>
          <w:szCs w:val="24"/>
        </w:rPr>
        <w:t>увеличится</w:t>
      </w:r>
      <w:r w:rsidRPr="00BA277C">
        <w:rPr>
          <w:sz w:val="24"/>
          <w:szCs w:val="24"/>
        </w:rPr>
        <w:t xml:space="preserve"> на </w:t>
      </w:r>
      <w:r>
        <w:rPr>
          <w:sz w:val="24"/>
          <w:szCs w:val="24"/>
        </w:rPr>
        <w:t>6882,4</w:t>
      </w:r>
      <w:r w:rsidRPr="00BA277C">
        <w:rPr>
          <w:sz w:val="24"/>
          <w:szCs w:val="24"/>
        </w:rPr>
        <w:t xml:space="preserve"> тыс. рублей и составит </w:t>
      </w:r>
      <w:r>
        <w:rPr>
          <w:sz w:val="24"/>
          <w:szCs w:val="24"/>
        </w:rPr>
        <w:t>14496,5</w:t>
      </w:r>
      <w:r w:rsidRPr="00BA277C">
        <w:rPr>
          <w:sz w:val="24"/>
          <w:szCs w:val="24"/>
        </w:rPr>
        <w:t xml:space="preserve"> тыс. руб.  Размер дефицита  бюджета установлен в соответствии с п.3 ст.92.1 Бюджетного Кодекса РФ</w:t>
      </w:r>
      <w:r>
        <w:rPr>
          <w:sz w:val="24"/>
          <w:szCs w:val="24"/>
        </w:rPr>
        <w:t>.</w:t>
      </w:r>
    </w:p>
    <w:p w:rsidR="00BA5360" w:rsidRDefault="00BA5360" w:rsidP="007D79EE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</w:t>
      </w:r>
      <w:r w:rsidR="00BA5360">
        <w:rPr>
          <w:sz w:val="24"/>
          <w:szCs w:val="24"/>
        </w:rPr>
        <w:t>резервного фонда (п. 3 ст. 81).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>Документы, представленные одновременно с проектом бюджета, соответству</w:t>
      </w:r>
      <w:r w:rsidR="00C17E3C">
        <w:rPr>
          <w:sz w:val="24"/>
          <w:szCs w:val="24"/>
        </w:rPr>
        <w:t>ю</w:t>
      </w:r>
      <w:r w:rsidR="00516CD4" w:rsidRPr="0022549C">
        <w:rPr>
          <w:sz w:val="24"/>
          <w:szCs w:val="24"/>
        </w:rPr>
        <w:t xml:space="preserve">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19BB" w:rsidRDefault="008E04F7" w:rsidP="00290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516CD4">
        <w:rPr>
          <w:sz w:val="24"/>
          <w:szCs w:val="24"/>
        </w:rPr>
        <w:t xml:space="preserve">. </w:t>
      </w:r>
      <w:r w:rsidR="00405A17">
        <w:rPr>
          <w:sz w:val="24"/>
          <w:szCs w:val="24"/>
        </w:rPr>
        <w:t>В ходе</w:t>
      </w:r>
      <w:r w:rsidR="00516CD4">
        <w:rPr>
          <w:sz w:val="24"/>
          <w:szCs w:val="24"/>
        </w:rPr>
        <w:t xml:space="preserve"> экспертизы </w:t>
      </w:r>
      <w:r w:rsidR="00516CD4" w:rsidRPr="00CF3BF0">
        <w:rPr>
          <w:sz w:val="24"/>
          <w:szCs w:val="24"/>
        </w:rPr>
        <w:t>проект</w:t>
      </w:r>
      <w:r w:rsidR="00516CD4">
        <w:rPr>
          <w:sz w:val="24"/>
          <w:szCs w:val="24"/>
        </w:rPr>
        <w:t>а</w:t>
      </w:r>
      <w:r w:rsidR="00516CD4" w:rsidRPr="00CF3BF0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>решения Думы</w:t>
      </w:r>
      <w:r w:rsidR="00516CD4" w:rsidRPr="00CF3BF0">
        <w:rPr>
          <w:sz w:val="24"/>
          <w:szCs w:val="24"/>
        </w:rPr>
        <w:t xml:space="preserve"> </w:t>
      </w:r>
      <w:proofErr w:type="spellStart"/>
      <w:r w:rsidR="00516CD4" w:rsidRPr="00CF3BF0">
        <w:rPr>
          <w:sz w:val="24"/>
          <w:szCs w:val="24"/>
        </w:rPr>
        <w:t>Тайшетского</w:t>
      </w:r>
      <w:proofErr w:type="spellEnd"/>
      <w:r w:rsidR="00516CD4" w:rsidRPr="00CF3BF0">
        <w:rPr>
          <w:sz w:val="24"/>
          <w:szCs w:val="24"/>
        </w:rPr>
        <w:t xml:space="preserve"> городского поселения </w:t>
      </w:r>
      <w:r w:rsidR="00516CD4" w:rsidRPr="00C808A8">
        <w:rPr>
          <w:sz w:val="24"/>
          <w:szCs w:val="24"/>
        </w:rPr>
        <w:t>«</w:t>
      </w:r>
      <w:r w:rsidR="00516CD4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городского поселения от 2</w:t>
      </w:r>
      <w:r w:rsidR="00290F85">
        <w:rPr>
          <w:sz w:val="24"/>
          <w:szCs w:val="24"/>
        </w:rPr>
        <w:t>5</w:t>
      </w:r>
      <w:r w:rsidR="00516CD4" w:rsidRPr="00C91D0A">
        <w:rPr>
          <w:sz w:val="24"/>
          <w:szCs w:val="24"/>
        </w:rPr>
        <w:t>.11.20</w:t>
      </w:r>
      <w:r w:rsidR="00290F85">
        <w:rPr>
          <w:sz w:val="24"/>
          <w:szCs w:val="24"/>
        </w:rPr>
        <w:t>20</w:t>
      </w:r>
      <w:r w:rsidR="00516CD4" w:rsidRPr="00C91D0A">
        <w:rPr>
          <w:sz w:val="24"/>
          <w:szCs w:val="24"/>
        </w:rPr>
        <w:t xml:space="preserve"> г. № 1</w:t>
      </w:r>
      <w:r w:rsidR="00290F85">
        <w:rPr>
          <w:sz w:val="24"/>
          <w:szCs w:val="24"/>
        </w:rPr>
        <w:t>90</w:t>
      </w:r>
      <w:r w:rsidR="00516CD4" w:rsidRPr="00C91D0A">
        <w:rPr>
          <w:sz w:val="24"/>
          <w:szCs w:val="24"/>
        </w:rPr>
        <w:t xml:space="preserve"> «О бюджете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C91D0A">
        <w:rPr>
          <w:sz w:val="24"/>
          <w:szCs w:val="24"/>
        </w:rPr>
        <w:t>Тайшетское</w:t>
      </w:r>
      <w:proofErr w:type="spellEnd"/>
      <w:r w:rsidR="00516CD4" w:rsidRPr="00C91D0A">
        <w:rPr>
          <w:sz w:val="24"/>
          <w:szCs w:val="24"/>
        </w:rPr>
        <w:t xml:space="preserve"> городское поселение» на 202</w:t>
      </w:r>
      <w:r w:rsidR="00290F85">
        <w:rPr>
          <w:sz w:val="24"/>
          <w:szCs w:val="24"/>
        </w:rPr>
        <w:t>1</w:t>
      </w:r>
      <w:r w:rsidR="00516CD4" w:rsidRPr="00C91D0A">
        <w:rPr>
          <w:sz w:val="24"/>
          <w:szCs w:val="24"/>
        </w:rPr>
        <w:t xml:space="preserve"> год и на  плановый период 202</w:t>
      </w:r>
      <w:r w:rsidR="00290F85">
        <w:rPr>
          <w:sz w:val="24"/>
          <w:szCs w:val="24"/>
        </w:rPr>
        <w:t>2</w:t>
      </w:r>
      <w:r w:rsidR="00516CD4" w:rsidRPr="00C91D0A">
        <w:rPr>
          <w:sz w:val="24"/>
          <w:szCs w:val="24"/>
        </w:rPr>
        <w:t xml:space="preserve"> и 202</w:t>
      </w:r>
      <w:r w:rsidR="00290F85">
        <w:rPr>
          <w:sz w:val="24"/>
          <w:szCs w:val="24"/>
        </w:rPr>
        <w:t>3</w:t>
      </w:r>
      <w:r w:rsidR="00516CD4" w:rsidRPr="00C91D0A">
        <w:rPr>
          <w:sz w:val="24"/>
          <w:szCs w:val="24"/>
        </w:rPr>
        <w:t xml:space="preserve"> годов</w:t>
      </w:r>
      <w:r w:rsidR="00516CD4" w:rsidRPr="00C808A8">
        <w:rPr>
          <w:sz w:val="24"/>
          <w:szCs w:val="24"/>
        </w:rPr>
        <w:t>»</w:t>
      </w:r>
      <w:r w:rsidR="00BC19BB">
        <w:rPr>
          <w:sz w:val="24"/>
          <w:szCs w:val="24"/>
        </w:rPr>
        <w:t xml:space="preserve"> установлено следующее:</w:t>
      </w:r>
    </w:p>
    <w:p w:rsidR="00BC19BB" w:rsidRDefault="00BC19BB" w:rsidP="00290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30A9" w:rsidRDefault="00BC19BB" w:rsidP="00290F85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516CD4" w:rsidRPr="00F21CA7">
        <w:rPr>
          <w:sz w:val="24"/>
          <w:szCs w:val="24"/>
        </w:rPr>
        <w:t xml:space="preserve"> </w:t>
      </w:r>
      <w:r w:rsidRPr="00F21CA7">
        <w:rPr>
          <w:rFonts w:eastAsia="Times New Roman"/>
          <w:sz w:val="24"/>
          <w:szCs w:val="24"/>
        </w:rPr>
        <w:t xml:space="preserve">В нарушение   п. 3 ст. 69.2  Бюджетного кодекса РФ, п.5 Порядка формирования муниципального задания, бюджетные ассигнования на субсидию на финансовое обеспечение выполнения муниципального задания МБУ «Городское хозяйство»  </w:t>
      </w:r>
      <w:r w:rsidR="00F464CD" w:rsidRPr="00F21CA7">
        <w:rPr>
          <w:rFonts w:eastAsia="Times New Roman"/>
          <w:sz w:val="24"/>
          <w:szCs w:val="24"/>
        </w:rPr>
        <w:t xml:space="preserve">на плановый 2022 год </w:t>
      </w:r>
      <w:r w:rsidR="00A530A9">
        <w:rPr>
          <w:rFonts w:eastAsia="Times New Roman"/>
          <w:sz w:val="24"/>
          <w:szCs w:val="24"/>
        </w:rPr>
        <w:t xml:space="preserve"> </w:t>
      </w:r>
      <w:r w:rsidR="00F464CD" w:rsidRPr="00F21CA7">
        <w:rPr>
          <w:rFonts w:eastAsia="Times New Roman"/>
          <w:sz w:val="24"/>
          <w:szCs w:val="24"/>
        </w:rPr>
        <w:t xml:space="preserve">в настоящем проекте   </w:t>
      </w:r>
      <w:r w:rsidR="00946128" w:rsidRPr="00F21CA7">
        <w:rPr>
          <w:rFonts w:eastAsia="Times New Roman"/>
          <w:sz w:val="24"/>
          <w:szCs w:val="24"/>
        </w:rPr>
        <w:t xml:space="preserve">запланированы </w:t>
      </w:r>
      <w:r w:rsidRPr="00F21CA7">
        <w:rPr>
          <w:rFonts w:eastAsia="Times New Roman"/>
          <w:sz w:val="24"/>
          <w:szCs w:val="24"/>
        </w:rPr>
        <w:t xml:space="preserve">при отсутствии </w:t>
      </w:r>
      <w:r w:rsidR="00A530A9">
        <w:rPr>
          <w:rFonts w:eastAsia="Times New Roman"/>
          <w:sz w:val="24"/>
          <w:szCs w:val="24"/>
        </w:rPr>
        <w:t>М</w:t>
      </w:r>
      <w:r w:rsidRPr="00F21CA7">
        <w:rPr>
          <w:rFonts w:eastAsia="Times New Roman"/>
          <w:sz w:val="24"/>
          <w:szCs w:val="24"/>
        </w:rPr>
        <w:t>униципального задания</w:t>
      </w:r>
      <w:r w:rsidR="00A530A9">
        <w:rPr>
          <w:rFonts w:eastAsia="Times New Roman"/>
          <w:sz w:val="24"/>
          <w:szCs w:val="24"/>
        </w:rPr>
        <w:t xml:space="preserve">. </w:t>
      </w:r>
    </w:p>
    <w:p w:rsidR="00A530A9" w:rsidRPr="00A530A9" w:rsidRDefault="00A530A9" w:rsidP="00A530A9">
      <w:pPr>
        <w:tabs>
          <w:tab w:val="left" w:pos="567"/>
          <w:tab w:val="left" w:pos="709"/>
          <w:tab w:val="left" w:pos="1134"/>
        </w:tabs>
        <w:spacing w:after="200" w:line="276" w:lineRule="auto"/>
        <w:ind w:firstLine="680"/>
        <w:jc w:val="both"/>
        <w:rPr>
          <w:rFonts w:eastAsiaTheme="minorHAnsi"/>
          <w:sz w:val="22"/>
          <w:szCs w:val="22"/>
          <w:lang w:eastAsia="en-US"/>
        </w:rPr>
      </w:pPr>
      <w:r w:rsidRPr="00A530A9">
        <w:rPr>
          <w:rFonts w:eastAsia="Times New Roman"/>
          <w:sz w:val="24"/>
          <w:szCs w:val="24"/>
        </w:rPr>
        <w:t xml:space="preserve">В соответствии с п. 5 Порядка формирования муниципального задания, муниципальное задание  формируется  при формировании  бюджета </w:t>
      </w:r>
      <w:proofErr w:type="spellStart"/>
      <w:r w:rsidRPr="00A530A9">
        <w:rPr>
          <w:rFonts w:eastAsia="Times New Roman"/>
          <w:sz w:val="24"/>
          <w:szCs w:val="24"/>
        </w:rPr>
        <w:t>Тайшетского</w:t>
      </w:r>
      <w:proofErr w:type="spellEnd"/>
      <w:r w:rsidRPr="00A530A9">
        <w:rPr>
          <w:rFonts w:eastAsia="Times New Roman"/>
          <w:sz w:val="24"/>
          <w:szCs w:val="24"/>
        </w:rPr>
        <w:t xml:space="preserve"> </w:t>
      </w:r>
      <w:r w:rsidRPr="00A530A9">
        <w:rPr>
          <w:rFonts w:eastAsia="Times New Roman"/>
          <w:sz w:val="24"/>
          <w:szCs w:val="24"/>
        </w:rPr>
        <w:lastRenderedPageBreak/>
        <w:t>городского поселения на  очередной финансовый год и на плановый период.  Согласно п.</w:t>
      </w:r>
      <w:r w:rsidRPr="00A530A9">
        <w:rPr>
          <w:rFonts w:eastAsiaTheme="minorHAnsi"/>
          <w:sz w:val="22"/>
          <w:szCs w:val="22"/>
          <w:lang w:eastAsia="en-US"/>
        </w:rPr>
        <w:t xml:space="preserve">2 ст. 69.2 Бюджетного кодекса РФ, показатели </w:t>
      </w:r>
      <w:r>
        <w:rPr>
          <w:rFonts w:eastAsiaTheme="minorHAnsi"/>
          <w:sz w:val="22"/>
          <w:szCs w:val="22"/>
          <w:lang w:eastAsia="en-US"/>
        </w:rPr>
        <w:t>муниципального</w:t>
      </w:r>
      <w:r w:rsidRPr="00A530A9">
        <w:rPr>
          <w:rFonts w:eastAsiaTheme="minorHAnsi"/>
          <w:sz w:val="22"/>
          <w:szCs w:val="22"/>
          <w:lang w:eastAsia="en-US"/>
        </w:rPr>
        <w:t xml:space="preserve"> задания используются при составлении проектов бюджетов для планирования бюджетных ассигнований на оказание муниципальных услуг (выполнение работ), 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BC19BB" w:rsidRDefault="00A530A9" w:rsidP="00290F8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</w:t>
      </w:r>
      <w:r w:rsidR="00763F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BC19BB" w:rsidRPr="00F21CA7">
        <w:rPr>
          <w:rFonts w:eastAsia="Times New Roman"/>
          <w:sz w:val="24"/>
          <w:szCs w:val="24"/>
        </w:rPr>
        <w:t>сего</w:t>
      </w:r>
      <w:r>
        <w:rPr>
          <w:rFonts w:eastAsia="Times New Roman"/>
          <w:sz w:val="24"/>
          <w:szCs w:val="24"/>
        </w:rPr>
        <w:t xml:space="preserve"> в отсутствие подтверждающего документа - Муниципального задания муниципального бюджетного учреждения «Городское хозяйство» на 2022 год в настоящем проекте бюджета запланировано</w:t>
      </w:r>
      <w:r w:rsidR="00BC19BB" w:rsidRPr="00F21C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бюджетных ассигнований на </w:t>
      </w:r>
      <w:r w:rsidR="00BC19BB" w:rsidRPr="00F21CA7">
        <w:rPr>
          <w:rFonts w:eastAsia="Times New Roman"/>
          <w:sz w:val="24"/>
          <w:szCs w:val="24"/>
        </w:rPr>
        <w:t xml:space="preserve"> сумм</w:t>
      </w:r>
      <w:r>
        <w:rPr>
          <w:rFonts w:eastAsia="Times New Roman"/>
          <w:sz w:val="24"/>
          <w:szCs w:val="24"/>
        </w:rPr>
        <w:t>у</w:t>
      </w:r>
      <w:r w:rsidR="00BC19BB" w:rsidRPr="00F21CA7">
        <w:rPr>
          <w:rFonts w:eastAsia="Times New Roman"/>
          <w:sz w:val="24"/>
          <w:szCs w:val="24"/>
        </w:rPr>
        <w:t xml:space="preserve"> 14169,0 тыс. рублей, в том числе:  10495,2 тыс. руб. по подразделу</w:t>
      </w:r>
      <w:r w:rsidR="00946128" w:rsidRPr="00F21CA7">
        <w:rPr>
          <w:rFonts w:eastAsia="Times New Roman"/>
          <w:sz w:val="24"/>
          <w:szCs w:val="24"/>
        </w:rPr>
        <w:t xml:space="preserve"> 0409</w:t>
      </w:r>
      <w:r w:rsidR="00BC19BB" w:rsidRPr="00F21CA7">
        <w:rPr>
          <w:rFonts w:eastAsia="Times New Roman"/>
          <w:sz w:val="24"/>
          <w:szCs w:val="24"/>
        </w:rPr>
        <w:t xml:space="preserve"> «Дорожное хозяйство» и  3673,8 тыс. рублей по подразделу  0503 «Благоустройство»</w:t>
      </w:r>
      <w:r w:rsidR="00946128" w:rsidRPr="00F21CA7">
        <w:rPr>
          <w:rFonts w:eastAsia="Times New Roman"/>
          <w:sz w:val="24"/>
          <w:szCs w:val="24"/>
        </w:rPr>
        <w:t>.</w:t>
      </w:r>
      <w:r w:rsidR="00BC19BB" w:rsidRPr="00F21CA7">
        <w:rPr>
          <w:rFonts w:eastAsia="Times New Roman"/>
          <w:sz w:val="24"/>
          <w:szCs w:val="24"/>
        </w:rPr>
        <w:t xml:space="preserve"> </w:t>
      </w:r>
    </w:p>
    <w:p w:rsidR="00322502" w:rsidRDefault="002260E5" w:rsidP="00290F8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260E5" w:rsidRDefault="00322502" w:rsidP="00290F8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2260E5">
        <w:rPr>
          <w:rFonts w:eastAsia="Times New Roman"/>
          <w:sz w:val="24"/>
          <w:szCs w:val="24"/>
        </w:rPr>
        <w:t xml:space="preserve">В адрес администрации </w:t>
      </w:r>
      <w:proofErr w:type="spellStart"/>
      <w:r w:rsidR="002260E5">
        <w:rPr>
          <w:rFonts w:eastAsia="Times New Roman"/>
          <w:sz w:val="24"/>
          <w:szCs w:val="24"/>
        </w:rPr>
        <w:t>Тайшетского</w:t>
      </w:r>
      <w:proofErr w:type="spellEnd"/>
      <w:r w:rsidR="002260E5">
        <w:rPr>
          <w:rFonts w:eastAsia="Times New Roman"/>
          <w:sz w:val="24"/>
          <w:szCs w:val="24"/>
        </w:rPr>
        <w:t xml:space="preserve"> городского поселения по данному факту  направлено представление №02 от 18.03.2021 года в целях устранения  выявленного нарушения.</w:t>
      </w:r>
    </w:p>
    <w:p w:rsidR="00BC19BB" w:rsidRDefault="00BC19BB" w:rsidP="00290F85">
      <w:pPr>
        <w:jc w:val="both"/>
        <w:rPr>
          <w:rFonts w:eastAsia="Times New Roman"/>
          <w:i/>
          <w:sz w:val="24"/>
          <w:szCs w:val="24"/>
        </w:rPr>
      </w:pPr>
    </w:p>
    <w:p w:rsidR="00F21CA7" w:rsidRDefault="003E7D9F" w:rsidP="00C4045C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rFonts w:eastAsia="Times New Roman"/>
          <w:sz w:val="24"/>
          <w:szCs w:val="24"/>
        </w:rPr>
      </w:pPr>
      <w:r w:rsidRPr="003E7D9F">
        <w:t xml:space="preserve"> </w:t>
      </w:r>
    </w:p>
    <w:p w:rsidR="00405A17" w:rsidRPr="00405A17" w:rsidRDefault="00F21CA7" w:rsidP="00405A17">
      <w:pPr>
        <w:ind w:firstLine="567"/>
        <w:jc w:val="both"/>
        <w:rPr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ab/>
        <w:t xml:space="preserve">7. </w:t>
      </w:r>
      <w:r w:rsidR="00405A17" w:rsidRPr="00405A17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gramStart"/>
      <w:r w:rsidR="00405A17">
        <w:rPr>
          <w:sz w:val="24"/>
          <w:szCs w:val="24"/>
        </w:rPr>
        <w:t xml:space="preserve">По итогам экспертизы </w:t>
      </w:r>
      <w:r w:rsidR="00405A17" w:rsidRPr="00CF3BF0">
        <w:rPr>
          <w:sz w:val="24"/>
          <w:szCs w:val="24"/>
        </w:rPr>
        <w:t>проект</w:t>
      </w:r>
      <w:r w:rsidR="00405A17">
        <w:rPr>
          <w:sz w:val="24"/>
          <w:szCs w:val="24"/>
        </w:rPr>
        <w:t>а</w:t>
      </w:r>
      <w:r w:rsidR="00405A17" w:rsidRPr="00CF3BF0">
        <w:rPr>
          <w:sz w:val="24"/>
          <w:szCs w:val="24"/>
        </w:rPr>
        <w:t xml:space="preserve"> </w:t>
      </w:r>
      <w:r w:rsidR="00405A17">
        <w:rPr>
          <w:sz w:val="24"/>
          <w:szCs w:val="24"/>
        </w:rPr>
        <w:t>решения Думы</w:t>
      </w:r>
      <w:r w:rsidR="00405A17" w:rsidRPr="00CF3BF0">
        <w:rPr>
          <w:sz w:val="24"/>
          <w:szCs w:val="24"/>
        </w:rPr>
        <w:t xml:space="preserve"> </w:t>
      </w:r>
      <w:proofErr w:type="spellStart"/>
      <w:r w:rsidR="00405A17" w:rsidRPr="00CF3BF0">
        <w:rPr>
          <w:sz w:val="24"/>
          <w:szCs w:val="24"/>
        </w:rPr>
        <w:t>Тайшетского</w:t>
      </w:r>
      <w:proofErr w:type="spellEnd"/>
      <w:r w:rsidR="00405A17" w:rsidRPr="00CF3BF0">
        <w:rPr>
          <w:sz w:val="24"/>
          <w:szCs w:val="24"/>
        </w:rPr>
        <w:t xml:space="preserve"> городского поселения </w:t>
      </w:r>
      <w:r w:rsidR="00405A17" w:rsidRPr="00C808A8">
        <w:rPr>
          <w:sz w:val="24"/>
          <w:szCs w:val="24"/>
        </w:rPr>
        <w:t>«</w:t>
      </w:r>
      <w:r w:rsidR="00405A17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405A17" w:rsidRPr="00C91D0A">
        <w:rPr>
          <w:sz w:val="24"/>
          <w:szCs w:val="24"/>
        </w:rPr>
        <w:t>Тайшетского</w:t>
      </w:r>
      <w:proofErr w:type="spellEnd"/>
      <w:r w:rsidR="00405A17" w:rsidRPr="00C91D0A">
        <w:rPr>
          <w:sz w:val="24"/>
          <w:szCs w:val="24"/>
        </w:rPr>
        <w:t xml:space="preserve"> городского поселения от 2</w:t>
      </w:r>
      <w:r w:rsidR="00405A17">
        <w:rPr>
          <w:sz w:val="24"/>
          <w:szCs w:val="24"/>
        </w:rPr>
        <w:t>5</w:t>
      </w:r>
      <w:r w:rsidR="00405A17" w:rsidRPr="00C91D0A">
        <w:rPr>
          <w:sz w:val="24"/>
          <w:szCs w:val="24"/>
        </w:rPr>
        <w:t>.11.20</w:t>
      </w:r>
      <w:r w:rsidR="00405A17">
        <w:rPr>
          <w:sz w:val="24"/>
          <w:szCs w:val="24"/>
        </w:rPr>
        <w:t>20</w:t>
      </w:r>
      <w:r w:rsidR="00405A17" w:rsidRPr="00C91D0A">
        <w:rPr>
          <w:sz w:val="24"/>
          <w:szCs w:val="24"/>
        </w:rPr>
        <w:t xml:space="preserve"> г. № 1</w:t>
      </w:r>
      <w:r w:rsidR="00405A17">
        <w:rPr>
          <w:sz w:val="24"/>
          <w:szCs w:val="24"/>
        </w:rPr>
        <w:t>90</w:t>
      </w:r>
      <w:r w:rsidR="00405A17" w:rsidRPr="00C91D0A">
        <w:rPr>
          <w:sz w:val="24"/>
          <w:szCs w:val="24"/>
        </w:rPr>
        <w:t xml:space="preserve"> «О бюджете </w:t>
      </w:r>
      <w:proofErr w:type="spellStart"/>
      <w:r w:rsidR="00405A17" w:rsidRPr="00C91D0A">
        <w:rPr>
          <w:sz w:val="24"/>
          <w:szCs w:val="24"/>
        </w:rPr>
        <w:t>Тайшетского</w:t>
      </w:r>
      <w:proofErr w:type="spellEnd"/>
      <w:r w:rsidR="00405A17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405A17" w:rsidRPr="00C91D0A">
        <w:rPr>
          <w:sz w:val="24"/>
          <w:szCs w:val="24"/>
        </w:rPr>
        <w:t>Тайшетское</w:t>
      </w:r>
      <w:proofErr w:type="spellEnd"/>
      <w:r w:rsidR="00405A17" w:rsidRPr="00C91D0A">
        <w:rPr>
          <w:sz w:val="24"/>
          <w:szCs w:val="24"/>
        </w:rPr>
        <w:t xml:space="preserve"> городское поселение» на 202</w:t>
      </w:r>
      <w:r w:rsidR="00405A17">
        <w:rPr>
          <w:sz w:val="24"/>
          <w:szCs w:val="24"/>
        </w:rPr>
        <w:t>1</w:t>
      </w:r>
      <w:r w:rsidR="00405A17" w:rsidRPr="00C91D0A">
        <w:rPr>
          <w:sz w:val="24"/>
          <w:szCs w:val="24"/>
        </w:rPr>
        <w:t xml:space="preserve"> год и на  плановый период 202</w:t>
      </w:r>
      <w:r w:rsidR="00405A17">
        <w:rPr>
          <w:sz w:val="24"/>
          <w:szCs w:val="24"/>
        </w:rPr>
        <w:t>2</w:t>
      </w:r>
      <w:r w:rsidR="00405A17" w:rsidRPr="00C91D0A">
        <w:rPr>
          <w:sz w:val="24"/>
          <w:szCs w:val="24"/>
        </w:rPr>
        <w:t xml:space="preserve"> и 202</w:t>
      </w:r>
      <w:r w:rsidR="00405A17">
        <w:rPr>
          <w:sz w:val="24"/>
          <w:szCs w:val="24"/>
        </w:rPr>
        <w:t>3</w:t>
      </w:r>
      <w:r w:rsidR="00405A17" w:rsidRPr="00C91D0A">
        <w:rPr>
          <w:sz w:val="24"/>
          <w:szCs w:val="24"/>
        </w:rPr>
        <w:t xml:space="preserve"> годов</w:t>
      </w:r>
      <w:r w:rsidR="00405A17" w:rsidRPr="00C808A8">
        <w:rPr>
          <w:sz w:val="24"/>
          <w:szCs w:val="24"/>
        </w:rPr>
        <w:t>»</w:t>
      </w:r>
      <w:r w:rsidR="00405A17">
        <w:rPr>
          <w:sz w:val="24"/>
          <w:szCs w:val="24"/>
        </w:rPr>
        <w:t>,</w:t>
      </w:r>
      <w:r w:rsidR="00763F9E">
        <w:rPr>
          <w:sz w:val="24"/>
          <w:szCs w:val="24"/>
        </w:rPr>
        <w:t xml:space="preserve"> </w:t>
      </w:r>
      <w:r w:rsidR="00405A17">
        <w:rPr>
          <w:sz w:val="24"/>
          <w:szCs w:val="24"/>
        </w:rPr>
        <w:t xml:space="preserve"> принимая во внимание  выявленные нарушения,  </w:t>
      </w:r>
      <w:r w:rsidR="00405A17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405A17" w:rsidRPr="00405A17">
        <w:rPr>
          <w:sz w:val="24"/>
          <w:szCs w:val="24"/>
          <w:lang w:eastAsia="en-US"/>
        </w:rPr>
        <w:t>Тайшетского</w:t>
      </w:r>
      <w:proofErr w:type="spellEnd"/>
      <w:r w:rsidR="00405A17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405A17">
        <w:rPr>
          <w:sz w:val="24"/>
          <w:szCs w:val="24"/>
          <w:lang w:eastAsia="en-US"/>
        </w:rPr>
        <w:t>утвердить</w:t>
      </w:r>
      <w:r w:rsidR="00405A17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405A17" w:rsidRPr="00405A17">
        <w:rPr>
          <w:sz w:val="24"/>
          <w:szCs w:val="24"/>
          <w:lang w:eastAsia="en-US"/>
        </w:rPr>
        <w:t>Тайшетского</w:t>
      </w:r>
      <w:proofErr w:type="spellEnd"/>
      <w:r w:rsidR="00405A17" w:rsidRPr="00405A17">
        <w:rPr>
          <w:sz w:val="24"/>
          <w:szCs w:val="24"/>
          <w:lang w:eastAsia="en-US"/>
        </w:rPr>
        <w:t xml:space="preserve"> городского поселения</w:t>
      </w:r>
      <w:proofErr w:type="gramEnd"/>
      <w:r w:rsidR="00763F9E">
        <w:rPr>
          <w:sz w:val="24"/>
          <w:szCs w:val="24"/>
          <w:lang w:eastAsia="en-US"/>
        </w:rPr>
        <w:t xml:space="preserve"> в представленной редакции.</w:t>
      </w:r>
    </w:p>
    <w:p w:rsidR="00F21CA7" w:rsidRDefault="00F21CA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9441B" w:rsidRDefault="00E9441B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9441B" w:rsidRDefault="00E9441B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E04F7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E7D9F" w:rsidRDefault="003E7D9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516CD4" w:rsidRPr="00FC56AC" w:rsidRDefault="00516CD4" w:rsidP="00516CD4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07230E" w:rsidRDefault="0007230E"/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D2" w:rsidRDefault="002918D2">
      <w:r>
        <w:separator/>
      </w:r>
    </w:p>
  </w:endnote>
  <w:endnote w:type="continuationSeparator" w:id="0">
    <w:p w:rsidR="002918D2" w:rsidRDefault="0029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F21CA7" w:rsidRDefault="00F21C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5C">
          <w:rPr>
            <w:noProof/>
          </w:rPr>
          <w:t>9</w:t>
        </w:r>
        <w:r>
          <w:fldChar w:fldCharType="end"/>
        </w:r>
      </w:p>
    </w:sdtContent>
  </w:sdt>
  <w:p w:rsidR="00F21CA7" w:rsidRDefault="00F21C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D2" w:rsidRDefault="002918D2">
      <w:r>
        <w:separator/>
      </w:r>
    </w:p>
  </w:footnote>
  <w:footnote w:type="continuationSeparator" w:id="0">
    <w:p w:rsidR="002918D2" w:rsidRDefault="0029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159F3"/>
    <w:rsid w:val="000206A8"/>
    <w:rsid w:val="00022D3C"/>
    <w:rsid w:val="000252AF"/>
    <w:rsid w:val="00030BC1"/>
    <w:rsid w:val="00035747"/>
    <w:rsid w:val="00050EA8"/>
    <w:rsid w:val="000518A9"/>
    <w:rsid w:val="000603F2"/>
    <w:rsid w:val="0006371C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B04B6"/>
    <w:rsid w:val="000B185D"/>
    <w:rsid w:val="000D766A"/>
    <w:rsid w:val="000E6658"/>
    <w:rsid w:val="000F0EF2"/>
    <w:rsid w:val="000F6F50"/>
    <w:rsid w:val="00103D64"/>
    <w:rsid w:val="0010626B"/>
    <w:rsid w:val="001246B7"/>
    <w:rsid w:val="0012608E"/>
    <w:rsid w:val="00137CEA"/>
    <w:rsid w:val="00140DC8"/>
    <w:rsid w:val="0015589A"/>
    <w:rsid w:val="0016098D"/>
    <w:rsid w:val="00190AD2"/>
    <w:rsid w:val="00192AA1"/>
    <w:rsid w:val="001935EC"/>
    <w:rsid w:val="00196E1D"/>
    <w:rsid w:val="00197837"/>
    <w:rsid w:val="001A1D69"/>
    <w:rsid w:val="001B2D0B"/>
    <w:rsid w:val="001C605F"/>
    <w:rsid w:val="001E7BDA"/>
    <w:rsid w:val="0020090E"/>
    <w:rsid w:val="00201996"/>
    <w:rsid w:val="00212D25"/>
    <w:rsid w:val="0021768D"/>
    <w:rsid w:val="002260E5"/>
    <w:rsid w:val="00226D56"/>
    <w:rsid w:val="002543F9"/>
    <w:rsid w:val="00254E8B"/>
    <w:rsid w:val="00260718"/>
    <w:rsid w:val="00262359"/>
    <w:rsid w:val="002649C0"/>
    <w:rsid w:val="00266FC5"/>
    <w:rsid w:val="002722AC"/>
    <w:rsid w:val="002744E1"/>
    <w:rsid w:val="00281DAD"/>
    <w:rsid w:val="0028486C"/>
    <w:rsid w:val="00290F85"/>
    <w:rsid w:val="002918D2"/>
    <w:rsid w:val="00293471"/>
    <w:rsid w:val="0029660E"/>
    <w:rsid w:val="002A0AD7"/>
    <w:rsid w:val="002A7B10"/>
    <w:rsid w:val="002B3676"/>
    <w:rsid w:val="002B5314"/>
    <w:rsid w:val="002C4264"/>
    <w:rsid w:val="002D1F8A"/>
    <w:rsid w:val="002D704E"/>
    <w:rsid w:val="002E0B1B"/>
    <w:rsid w:val="002E78F7"/>
    <w:rsid w:val="002F1F4F"/>
    <w:rsid w:val="0030004E"/>
    <w:rsid w:val="00304322"/>
    <w:rsid w:val="00304734"/>
    <w:rsid w:val="00306946"/>
    <w:rsid w:val="003217AA"/>
    <w:rsid w:val="00322502"/>
    <w:rsid w:val="00326932"/>
    <w:rsid w:val="00334006"/>
    <w:rsid w:val="00335DF0"/>
    <w:rsid w:val="003414A6"/>
    <w:rsid w:val="00355C0D"/>
    <w:rsid w:val="00393603"/>
    <w:rsid w:val="00397104"/>
    <w:rsid w:val="003A7C12"/>
    <w:rsid w:val="003C680A"/>
    <w:rsid w:val="003C7AB8"/>
    <w:rsid w:val="003E12BA"/>
    <w:rsid w:val="003E181F"/>
    <w:rsid w:val="003E7D9F"/>
    <w:rsid w:val="0040018A"/>
    <w:rsid w:val="004009B1"/>
    <w:rsid w:val="00404037"/>
    <w:rsid w:val="00404344"/>
    <w:rsid w:val="00405A17"/>
    <w:rsid w:val="00407920"/>
    <w:rsid w:val="00415456"/>
    <w:rsid w:val="00417017"/>
    <w:rsid w:val="004201F6"/>
    <w:rsid w:val="004238D7"/>
    <w:rsid w:val="004347E0"/>
    <w:rsid w:val="00443935"/>
    <w:rsid w:val="0044777D"/>
    <w:rsid w:val="004528F1"/>
    <w:rsid w:val="00461914"/>
    <w:rsid w:val="00463E95"/>
    <w:rsid w:val="00475CA9"/>
    <w:rsid w:val="00480953"/>
    <w:rsid w:val="004849E7"/>
    <w:rsid w:val="0048544B"/>
    <w:rsid w:val="004913AA"/>
    <w:rsid w:val="00493607"/>
    <w:rsid w:val="00496DAD"/>
    <w:rsid w:val="004B4329"/>
    <w:rsid w:val="004C1510"/>
    <w:rsid w:val="004C6925"/>
    <w:rsid w:val="004E58AF"/>
    <w:rsid w:val="004F1A2E"/>
    <w:rsid w:val="005167D8"/>
    <w:rsid w:val="00516CD4"/>
    <w:rsid w:val="00522D27"/>
    <w:rsid w:val="00535A56"/>
    <w:rsid w:val="005368F5"/>
    <w:rsid w:val="00541B60"/>
    <w:rsid w:val="0055501E"/>
    <w:rsid w:val="005561A4"/>
    <w:rsid w:val="00556FC5"/>
    <w:rsid w:val="00567BFD"/>
    <w:rsid w:val="00570144"/>
    <w:rsid w:val="005800B6"/>
    <w:rsid w:val="0058691B"/>
    <w:rsid w:val="005874AB"/>
    <w:rsid w:val="00596131"/>
    <w:rsid w:val="005A23F4"/>
    <w:rsid w:val="005C0157"/>
    <w:rsid w:val="005C19E4"/>
    <w:rsid w:val="005E4E61"/>
    <w:rsid w:val="005E540E"/>
    <w:rsid w:val="005F2045"/>
    <w:rsid w:val="00622E36"/>
    <w:rsid w:val="00630E73"/>
    <w:rsid w:val="00637DA4"/>
    <w:rsid w:val="00642DB3"/>
    <w:rsid w:val="00652F51"/>
    <w:rsid w:val="00660C40"/>
    <w:rsid w:val="006649A0"/>
    <w:rsid w:val="006653A2"/>
    <w:rsid w:val="00666EAE"/>
    <w:rsid w:val="0067029E"/>
    <w:rsid w:val="006735B8"/>
    <w:rsid w:val="00673CBC"/>
    <w:rsid w:val="00683554"/>
    <w:rsid w:val="00683BB7"/>
    <w:rsid w:val="00693475"/>
    <w:rsid w:val="006951E1"/>
    <w:rsid w:val="006B5FA3"/>
    <w:rsid w:val="006C4D56"/>
    <w:rsid w:val="006C5603"/>
    <w:rsid w:val="006C7774"/>
    <w:rsid w:val="006D2296"/>
    <w:rsid w:val="006D34C4"/>
    <w:rsid w:val="006D4AE3"/>
    <w:rsid w:val="006D5F9C"/>
    <w:rsid w:val="006E30CC"/>
    <w:rsid w:val="007035CC"/>
    <w:rsid w:val="00706B1D"/>
    <w:rsid w:val="00711E5C"/>
    <w:rsid w:val="00713D3F"/>
    <w:rsid w:val="00734D90"/>
    <w:rsid w:val="007357F3"/>
    <w:rsid w:val="00741749"/>
    <w:rsid w:val="00747D8E"/>
    <w:rsid w:val="00752190"/>
    <w:rsid w:val="0075551C"/>
    <w:rsid w:val="007575E5"/>
    <w:rsid w:val="0076175B"/>
    <w:rsid w:val="00763F9E"/>
    <w:rsid w:val="00766948"/>
    <w:rsid w:val="00766C2D"/>
    <w:rsid w:val="007672E8"/>
    <w:rsid w:val="00786182"/>
    <w:rsid w:val="00795E82"/>
    <w:rsid w:val="007B1B1C"/>
    <w:rsid w:val="007B2FE3"/>
    <w:rsid w:val="007C2981"/>
    <w:rsid w:val="007C3CAE"/>
    <w:rsid w:val="007D79EE"/>
    <w:rsid w:val="007F318E"/>
    <w:rsid w:val="007F3C92"/>
    <w:rsid w:val="00827B1B"/>
    <w:rsid w:val="008307AC"/>
    <w:rsid w:val="00832726"/>
    <w:rsid w:val="00842036"/>
    <w:rsid w:val="00844CF6"/>
    <w:rsid w:val="00890994"/>
    <w:rsid w:val="008920FC"/>
    <w:rsid w:val="008A1A6A"/>
    <w:rsid w:val="008A53BA"/>
    <w:rsid w:val="008B152A"/>
    <w:rsid w:val="008B286C"/>
    <w:rsid w:val="008B7846"/>
    <w:rsid w:val="008B7D8F"/>
    <w:rsid w:val="008E04F7"/>
    <w:rsid w:val="008E0EF2"/>
    <w:rsid w:val="008E1978"/>
    <w:rsid w:val="008E1F91"/>
    <w:rsid w:val="008E65E5"/>
    <w:rsid w:val="00902BC0"/>
    <w:rsid w:val="00907E4F"/>
    <w:rsid w:val="00912C95"/>
    <w:rsid w:val="00921CC9"/>
    <w:rsid w:val="00923349"/>
    <w:rsid w:val="00932940"/>
    <w:rsid w:val="009421C7"/>
    <w:rsid w:val="00942A4C"/>
    <w:rsid w:val="00942BBA"/>
    <w:rsid w:val="00946128"/>
    <w:rsid w:val="00946FE0"/>
    <w:rsid w:val="0096185E"/>
    <w:rsid w:val="00966854"/>
    <w:rsid w:val="00976A3F"/>
    <w:rsid w:val="00983111"/>
    <w:rsid w:val="009850A3"/>
    <w:rsid w:val="009B3037"/>
    <w:rsid w:val="009B6FA0"/>
    <w:rsid w:val="009B796F"/>
    <w:rsid w:val="009C13D4"/>
    <w:rsid w:val="009C4B92"/>
    <w:rsid w:val="009C5882"/>
    <w:rsid w:val="009D6772"/>
    <w:rsid w:val="009E09F1"/>
    <w:rsid w:val="009F2B47"/>
    <w:rsid w:val="009F46FE"/>
    <w:rsid w:val="009F738C"/>
    <w:rsid w:val="009F761E"/>
    <w:rsid w:val="00A03A5E"/>
    <w:rsid w:val="00A0620C"/>
    <w:rsid w:val="00A2276C"/>
    <w:rsid w:val="00A22C98"/>
    <w:rsid w:val="00A34F3B"/>
    <w:rsid w:val="00A35900"/>
    <w:rsid w:val="00A40C1F"/>
    <w:rsid w:val="00A52EBD"/>
    <w:rsid w:val="00A530A9"/>
    <w:rsid w:val="00A72063"/>
    <w:rsid w:val="00A9523F"/>
    <w:rsid w:val="00AB255A"/>
    <w:rsid w:val="00AE2E61"/>
    <w:rsid w:val="00AE346F"/>
    <w:rsid w:val="00B04492"/>
    <w:rsid w:val="00B07A70"/>
    <w:rsid w:val="00B125BF"/>
    <w:rsid w:val="00B25BA8"/>
    <w:rsid w:val="00B33EBF"/>
    <w:rsid w:val="00B3668D"/>
    <w:rsid w:val="00B45341"/>
    <w:rsid w:val="00B64915"/>
    <w:rsid w:val="00B66B17"/>
    <w:rsid w:val="00B7228A"/>
    <w:rsid w:val="00B72E0B"/>
    <w:rsid w:val="00B82CF9"/>
    <w:rsid w:val="00B9148D"/>
    <w:rsid w:val="00B9678A"/>
    <w:rsid w:val="00BA277C"/>
    <w:rsid w:val="00BA3C17"/>
    <w:rsid w:val="00BA47BF"/>
    <w:rsid w:val="00BA5360"/>
    <w:rsid w:val="00BA6220"/>
    <w:rsid w:val="00BA714B"/>
    <w:rsid w:val="00BB5520"/>
    <w:rsid w:val="00BB743A"/>
    <w:rsid w:val="00BC053F"/>
    <w:rsid w:val="00BC19BB"/>
    <w:rsid w:val="00BC560C"/>
    <w:rsid w:val="00BE0F4A"/>
    <w:rsid w:val="00C03752"/>
    <w:rsid w:val="00C03B00"/>
    <w:rsid w:val="00C040C3"/>
    <w:rsid w:val="00C1199F"/>
    <w:rsid w:val="00C17E3C"/>
    <w:rsid w:val="00C4045C"/>
    <w:rsid w:val="00C43B23"/>
    <w:rsid w:val="00C445D1"/>
    <w:rsid w:val="00C7608D"/>
    <w:rsid w:val="00C8754F"/>
    <w:rsid w:val="00CA04B8"/>
    <w:rsid w:val="00CA1145"/>
    <w:rsid w:val="00CA54D9"/>
    <w:rsid w:val="00CC4733"/>
    <w:rsid w:val="00CC6803"/>
    <w:rsid w:val="00CD6335"/>
    <w:rsid w:val="00CE120E"/>
    <w:rsid w:val="00CF1CAA"/>
    <w:rsid w:val="00CF1F12"/>
    <w:rsid w:val="00CF38F2"/>
    <w:rsid w:val="00D00B9C"/>
    <w:rsid w:val="00D161B0"/>
    <w:rsid w:val="00D17E76"/>
    <w:rsid w:val="00D333C5"/>
    <w:rsid w:val="00D34628"/>
    <w:rsid w:val="00D41781"/>
    <w:rsid w:val="00D47065"/>
    <w:rsid w:val="00D50748"/>
    <w:rsid w:val="00D553B3"/>
    <w:rsid w:val="00D734B7"/>
    <w:rsid w:val="00D902FB"/>
    <w:rsid w:val="00D91195"/>
    <w:rsid w:val="00D91E3B"/>
    <w:rsid w:val="00D9669D"/>
    <w:rsid w:val="00DA1821"/>
    <w:rsid w:val="00DB5C63"/>
    <w:rsid w:val="00DB6F0B"/>
    <w:rsid w:val="00DD0C13"/>
    <w:rsid w:val="00DD554C"/>
    <w:rsid w:val="00DD7E3E"/>
    <w:rsid w:val="00DE0309"/>
    <w:rsid w:val="00DE20D0"/>
    <w:rsid w:val="00DF096F"/>
    <w:rsid w:val="00DF54F6"/>
    <w:rsid w:val="00E02046"/>
    <w:rsid w:val="00E06A82"/>
    <w:rsid w:val="00E1623E"/>
    <w:rsid w:val="00E16506"/>
    <w:rsid w:val="00E25488"/>
    <w:rsid w:val="00E26963"/>
    <w:rsid w:val="00E33814"/>
    <w:rsid w:val="00E37F27"/>
    <w:rsid w:val="00E46C1D"/>
    <w:rsid w:val="00E47817"/>
    <w:rsid w:val="00E67584"/>
    <w:rsid w:val="00E7410C"/>
    <w:rsid w:val="00E74C42"/>
    <w:rsid w:val="00E80850"/>
    <w:rsid w:val="00E84F97"/>
    <w:rsid w:val="00E87913"/>
    <w:rsid w:val="00E913D0"/>
    <w:rsid w:val="00E91F34"/>
    <w:rsid w:val="00E9441B"/>
    <w:rsid w:val="00EA48B5"/>
    <w:rsid w:val="00EB0C98"/>
    <w:rsid w:val="00EB36CC"/>
    <w:rsid w:val="00EB3C7A"/>
    <w:rsid w:val="00EE5CFC"/>
    <w:rsid w:val="00EF2460"/>
    <w:rsid w:val="00EF6722"/>
    <w:rsid w:val="00F12988"/>
    <w:rsid w:val="00F21CA7"/>
    <w:rsid w:val="00F334FF"/>
    <w:rsid w:val="00F464CD"/>
    <w:rsid w:val="00F46AF9"/>
    <w:rsid w:val="00F61F40"/>
    <w:rsid w:val="00F6295A"/>
    <w:rsid w:val="00F7249B"/>
    <w:rsid w:val="00F7313B"/>
    <w:rsid w:val="00F75F46"/>
    <w:rsid w:val="00F7754E"/>
    <w:rsid w:val="00F94AFB"/>
    <w:rsid w:val="00F95034"/>
    <w:rsid w:val="00FB2B64"/>
    <w:rsid w:val="00FB73C0"/>
    <w:rsid w:val="00FC10D2"/>
    <w:rsid w:val="00FE12F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E894-8389-4096-AF0C-A87C1505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9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253</cp:revision>
  <cp:lastPrinted>2021-03-18T01:35:00Z</cp:lastPrinted>
  <dcterms:created xsi:type="dcterms:W3CDTF">2020-09-30T03:25:00Z</dcterms:created>
  <dcterms:modified xsi:type="dcterms:W3CDTF">2021-03-18T01:35:00Z</dcterms:modified>
</cp:coreProperties>
</file>