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80E" w:rsidRPr="00936D3E" w:rsidRDefault="0018380E" w:rsidP="0018380E">
      <w:pPr>
        <w:ind w:firstLine="284"/>
        <w:jc w:val="center"/>
        <w:rPr>
          <w:b/>
          <w:sz w:val="28"/>
          <w:szCs w:val="28"/>
        </w:rPr>
      </w:pPr>
      <w:r w:rsidRPr="00936D3E">
        <w:rPr>
          <w:b/>
          <w:sz w:val="28"/>
          <w:szCs w:val="28"/>
        </w:rPr>
        <w:t>Российская Федерация</w:t>
      </w:r>
    </w:p>
    <w:p w:rsidR="0018380E" w:rsidRPr="00936D3E" w:rsidRDefault="0018380E" w:rsidP="0018380E">
      <w:pPr>
        <w:ind w:firstLine="284"/>
        <w:jc w:val="center"/>
        <w:rPr>
          <w:b/>
          <w:sz w:val="28"/>
          <w:szCs w:val="28"/>
        </w:rPr>
      </w:pPr>
      <w:r w:rsidRPr="00936D3E">
        <w:rPr>
          <w:b/>
          <w:sz w:val="28"/>
          <w:szCs w:val="28"/>
        </w:rPr>
        <w:t>Иркутская область</w:t>
      </w:r>
    </w:p>
    <w:p w:rsidR="0018380E" w:rsidRPr="00936D3E" w:rsidRDefault="0018380E" w:rsidP="0018380E">
      <w:pPr>
        <w:ind w:firstLine="284"/>
        <w:jc w:val="center"/>
        <w:rPr>
          <w:b/>
          <w:sz w:val="28"/>
          <w:szCs w:val="28"/>
        </w:rPr>
      </w:pPr>
      <w:proofErr w:type="spellStart"/>
      <w:r w:rsidRPr="00936D3E">
        <w:rPr>
          <w:b/>
          <w:sz w:val="28"/>
          <w:szCs w:val="28"/>
        </w:rPr>
        <w:t>Тайшетское</w:t>
      </w:r>
      <w:proofErr w:type="spellEnd"/>
      <w:r w:rsidRPr="00936D3E">
        <w:rPr>
          <w:b/>
          <w:sz w:val="28"/>
          <w:szCs w:val="28"/>
        </w:rPr>
        <w:t xml:space="preserve"> муниципальное образование </w:t>
      </w:r>
      <w:r w:rsidRPr="00936D3E">
        <w:rPr>
          <w:b/>
          <w:sz w:val="28"/>
          <w:szCs w:val="28"/>
        </w:rPr>
        <w:br/>
        <w:t>«</w:t>
      </w:r>
      <w:proofErr w:type="spellStart"/>
      <w:r w:rsidRPr="00936D3E">
        <w:rPr>
          <w:b/>
          <w:sz w:val="28"/>
          <w:szCs w:val="28"/>
        </w:rPr>
        <w:t>Тайшетское</w:t>
      </w:r>
      <w:proofErr w:type="spellEnd"/>
      <w:r w:rsidRPr="00936D3E">
        <w:rPr>
          <w:b/>
          <w:sz w:val="28"/>
          <w:szCs w:val="28"/>
        </w:rPr>
        <w:t xml:space="preserve"> городское поселение»</w:t>
      </w:r>
    </w:p>
    <w:p w:rsidR="0018380E" w:rsidRPr="00936D3E" w:rsidRDefault="0018380E" w:rsidP="0018380E">
      <w:pPr>
        <w:ind w:firstLine="284"/>
        <w:jc w:val="center"/>
        <w:rPr>
          <w:b/>
          <w:sz w:val="28"/>
          <w:szCs w:val="28"/>
        </w:rPr>
      </w:pPr>
      <w:r w:rsidRPr="00936D3E">
        <w:rPr>
          <w:b/>
          <w:sz w:val="28"/>
          <w:szCs w:val="28"/>
        </w:rPr>
        <w:t>КОНТРОЛЬНО-СЧЕТНАЯ ПАЛАТА</w:t>
      </w:r>
    </w:p>
    <w:p w:rsidR="0018380E" w:rsidRPr="00936D3E" w:rsidRDefault="0018380E" w:rsidP="0018380E">
      <w:pPr>
        <w:pBdr>
          <w:bottom w:val="single" w:sz="12" w:space="1" w:color="auto"/>
        </w:pBdr>
        <w:jc w:val="center"/>
        <w:rPr>
          <w:b/>
          <w:sz w:val="28"/>
          <w:szCs w:val="28"/>
        </w:rPr>
      </w:pPr>
      <w:r w:rsidRPr="00936D3E">
        <w:rPr>
          <w:b/>
          <w:sz w:val="28"/>
          <w:szCs w:val="28"/>
        </w:rPr>
        <w:t>ТАЙШЕТСКОГО ГОРОДСКОГО ПОСЕЛЕНИЯ</w:t>
      </w:r>
    </w:p>
    <w:p w:rsidR="0018380E" w:rsidRPr="00936D3E" w:rsidRDefault="0018380E" w:rsidP="0018380E">
      <w:pPr>
        <w:jc w:val="both"/>
        <w:rPr>
          <w:sz w:val="28"/>
          <w:szCs w:val="28"/>
        </w:rPr>
      </w:pPr>
      <w:r w:rsidRPr="00936D3E">
        <w:rPr>
          <w:sz w:val="28"/>
          <w:szCs w:val="28"/>
        </w:rPr>
        <w:t>665008, Иркутская область, г. Тайшет, ул. Свободы,4-4а</w:t>
      </w:r>
      <w:proofErr w:type="gramStart"/>
      <w:r w:rsidRPr="00936D3E">
        <w:rPr>
          <w:sz w:val="28"/>
          <w:szCs w:val="28"/>
        </w:rPr>
        <w:t xml:space="preserve"> ,</w:t>
      </w:r>
      <w:proofErr w:type="gramEnd"/>
      <w:r w:rsidRPr="00936D3E">
        <w:rPr>
          <w:sz w:val="28"/>
          <w:szCs w:val="28"/>
        </w:rPr>
        <w:t xml:space="preserve"> тел.(39563)2-03-45, </w:t>
      </w:r>
      <w:proofErr w:type="spellStart"/>
      <w:r w:rsidRPr="00936D3E">
        <w:rPr>
          <w:sz w:val="28"/>
          <w:szCs w:val="28"/>
          <w:lang w:val="en-US"/>
        </w:rPr>
        <w:t>ksp</w:t>
      </w:r>
      <w:proofErr w:type="spellEnd"/>
      <w:r w:rsidRPr="00936D3E">
        <w:rPr>
          <w:sz w:val="28"/>
          <w:szCs w:val="28"/>
        </w:rPr>
        <w:t>_</w:t>
      </w:r>
      <w:proofErr w:type="spellStart"/>
      <w:r w:rsidRPr="00936D3E">
        <w:rPr>
          <w:sz w:val="28"/>
          <w:szCs w:val="28"/>
          <w:lang w:val="en-US"/>
        </w:rPr>
        <w:t>tgp</w:t>
      </w:r>
      <w:proofErr w:type="spellEnd"/>
      <w:r w:rsidRPr="00936D3E">
        <w:rPr>
          <w:sz w:val="28"/>
          <w:szCs w:val="28"/>
        </w:rPr>
        <w:t>@</w:t>
      </w:r>
      <w:r w:rsidRPr="00936D3E">
        <w:rPr>
          <w:sz w:val="28"/>
          <w:szCs w:val="28"/>
          <w:lang w:val="en-US"/>
        </w:rPr>
        <w:t>rambler</w:t>
      </w:r>
      <w:r w:rsidRPr="00936D3E">
        <w:rPr>
          <w:sz w:val="28"/>
          <w:szCs w:val="28"/>
        </w:rPr>
        <w:t>.</w:t>
      </w:r>
      <w:proofErr w:type="spellStart"/>
      <w:r w:rsidRPr="00936D3E">
        <w:rPr>
          <w:sz w:val="28"/>
          <w:szCs w:val="28"/>
          <w:lang w:val="en-US"/>
        </w:rPr>
        <w:t>ru</w:t>
      </w:r>
      <w:proofErr w:type="spellEnd"/>
    </w:p>
    <w:p w:rsidR="0018380E" w:rsidRPr="00936D3E" w:rsidRDefault="0018380E" w:rsidP="0018380E">
      <w:pPr>
        <w:jc w:val="center"/>
        <w:rPr>
          <w:sz w:val="28"/>
          <w:szCs w:val="28"/>
        </w:rPr>
      </w:pPr>
      <w:r w:rsidRPr="00936D3E">
        <w:rPr>
          <w:sz w:val="28"/>
          <w:szCs w:val="28"/>
        </w:rPr>
        <w:t>ОГРН:1143850047637   ИНН:3816998043   КПП:381601001</w:t>
      </w:r>
    </w:p>
    <w:p w:rsidR="0018380E" w:rsidRPr="00936D3E" w:rsidRDefault="0018380E" w:rsidP="0018380E">
      <w:pPr>
        <w:jc w:val="center"/>
        <w:rPr>
          <w:sz w:val="28"/>
          <w:szCs w:val="28"/>
        </w:rPr>
      </w:pPr>
    </w:p>
    <w:p w:rsidR="0018380E" w:rsidRPr="00936D3E" w:rsidRDefault="009858D7" w:rsidP="0018380E">
      <w:pPr>
        <w:rPr>
          <w:sz w:val="28"/>
          <w:szCs w:val="28"/>
        </w:rPr>
      </w:pPr>
      <w:r>
        <w:rPr>
          <w:sz w:val="28"/>
          <w:szCs w:val="28"/>
        </w:rPr>
        <w:t>28  мая</w:t>
      </w:r>
      <w:r w:rsidR="0018380E" w:rsidRPr="00936D3E">
        <w:rPr>
          <w:sz w:val="28"/>
          <w:szCs w:val="28"/>
        </w:rPr>
        <w:t xml:space="preserve">  20</w:t>
      </w:r>
      <w:r>
        <w:rPr>
          <w:sz w:val="28"/>
          <w:szCs w:val="28"/>
        </w:rPr>
        <w:t>21</w:t>
      </w:r>
      <w:r w:rsidR="0018380E" w:rsidRPr="00936D3E">
        <w:rPr>
          <w:sz w:val="28"/>
          <w:szCs w:val="28"/>
        </w:rPr>
        <w:t xml:space="preserve"> г.                                                                                     г. Тайшет</w:t>
      </w:r>
    </w:p>
    <w:p w:rsidR="0018380E" w:rsidRPr="00936D3E" w:rsidRDefault="0018380E" w:rsidP="0018380E">
      <w:pPr>
        <w:jc w:val="center"/>
        <w:rPr>
          <w:sz w:val="28"/>
          <w:szCs w:val="28"/>
        </w:rPr>
      </w:pPr>
    </w:p>
    <w:p w:rsidR="0018380E" w:rsidRPr="00936D3E" w:rsidRDefault="0018380E" w:rsidP="0018380E">
      <w:pPr>
        <w:jc w:val="center"/>
        <w:rPr>
          <w:b/>
          <w:sz w:val="28"/>
          <w:szCs w:val="28"/>
        </w:rPr>
      </w:pPr>
      <w:r w:rsidRPr="00936D3E">
        <w:rPr>
          <w:sz w:val="28"/>
          <w:szCs w:val="28"/>
        </w:rPr>
        <w:t xml:space="preserve">              </w:t>
      </w:r>
    </w:p>
    <w:p w:rsidR="0018380E" w:rsidRPr="00936D3E" w:rsidRDefault="0018380E" w:rsidP="0018380E">
      <w:pPr>
        <w:jc w:val="center"/>
        <w:rPr>
          <w:b/>
          <w:sz w:val="28"/>
          <w:szCs w:val="28"/>
        </w:rPr>
      </w:pPr>
      <w:r w:rsidRPr="00936D3E">
        <w:rPr>
          <w:b/>
          <w:sz w:val="28"/>
          <w:szCs w:val="28"/>
        </w:rPr>
        <w:t xml:space="preserve">ЗАКЛЮЧЕНИЕ  № </w:t>
      </w:r>
      <w:r w:rsidR="009858D7">
        <w:rPr>
          <w:b/>
          <w:sz w:val="28"/>
          <w:szCs w:val="28"/>
        </w:rPr>
        <w:t>07</w:t>
      </w:r>
      <w:r w:rsidRPr="00936D3E">
        <w:rPr>
          <w:b/>
          <w:sz w:val="28"/>
          <w:szCs w:val="28"/>
        </w:rPr>
        <w:t>-З</w:t>
      </w:r>
    </w:p>
    <w:p w:rsidR="009858D7" w:rsidRDefault="0018380E" w:rsidP="009858D7">
      <w:pPr>
        <w:ind w:firstLine="567"/>
        <w:jc w:val="center"/>
        <w:rPr>
          <w:sz w:val="28"/>
          <w:szCs w:val="28"/>
        </w:rPr>
      </w:pPr>
      <w:r w:rsidRPr="00936D3E">
        <w:rPr>
          <w:sz w:val="28"/>
          <w:szCs w:val="28"/>
        </w:rPr>
        <w:t>по результатам экспертно-аналитического мероприятия</w:t>
      </w:r>
    </w:p>
    <w:p w:rsidR="0018380E" w:rsidRPr="009858D7" w:rsidRDefault="009858D7" w:rsidP="009858D7">
      <w:pPr>
        <w:ind w:firstLine="567"/>
        <w:jc w:val="center"/>
        <w:rPr>
          <w:sz w:val="28"/>
          <w:szCs w:val="28"/>
        </w:rPr>
      </w:pPr>
      <w:r w:rsidRPr="009858D7">
        <w:rPr>
          <w:sz w:val="28"/>
          <w:szCs w:val="28"/>
        </w:rPr>
        <w:t>«Аудит закупки песчано-гравийной смеси МБУ «Городское хозяйство» в 2021 году»</w:t>
      </w:r>
      <w:r w:rsidRPr="009858D7">
        <w:rPr>
          <w:sz w:val="28"/>
          <w:szCs w:val="28"/>
        </w:rPr>
        <w:t>.</w:t>
      </w:r>
    </w:p>
    <w:p w:rsidR="0018380E" w:rsidRPr="00936D3E" w:rsidRDefault="0018380E" w:rsidP="0018380E">
      <w:pPr>
        <w:jc w:val="both"/>
        <w:rPr>
          <w:b/>
          <w:color w:val="FF0000"/>
          <w:sz w:val="28"/>
          <w:szCs w:val="28"/>
        </w:rPr>
      </w:pPr>
    </w:p>
    <w:p w:rsidR="0018380E" w:rsidRPr="00936D3E" w:rsidRDefault="0018380E" w:rsidP="0018380E">
      <w:pPr>
        <w:ind w:firstLine="567"/>
        <w:jc w:val="both"/>
        <w:rPr>
          <w:sz w:val="28"/>
          <w:szCs w:val="28"/>
        </w:rPr>
      </w:pPr>
      <w:r w:rsidRPr="00936D3E">
        <w:rPr>
          <w:sz w:val="28"/>
          <w:szCs w:val="28"/>
        </w:rPr>
        <w:t xml:space="preserve">Проверка проведена на основании распоряжения председателя Контрольно-счетной палаты </w:t>
      </w:r>
      <w:proofErr w:type="spellStart"/>
      <w:r w:rsidRPr="00936D3E">
        <w:rPr>
          <w:sz w:val="28"/>
          <w:szCs w:val="28"/>
        </w:rPr>
        <w:t>Тайшетского</w:t>
      </w:r>
      <w:proofErr w:type="spellEnd"/>
      <w:r w:rsidRPr="00936D3E">
        <w:rPr>
          <w:sz w:val="28"/>
          <w:szCs w:val="28"/>
        </w:rPr>
        <w:t xml:space="preserve"> городского поселения от </w:t>
      </w:r>
      <w:r w:rsidR="009858D7">
        <w:rPr>
          <w:sz w:val="28"/>
          <w:szCs w:val="28"/>
        </w:rPr>
        <w:t>25</w:t>
      </w:r>
      <w:r w:rsidRPr="00936D3E">
        <w:rPr>
          <w:sz w:val="28"/>
          <w:szCs w:val="28"/>
        </w:rPr>
        <w:t>.</w:t>
      </w:r>
      <w:r w:rsidR="009858D7">
        <w:rPr>
          <w:sz w:val="28"/>
          <w:szCs w:val="28"/>
        </w:rPr>
        <w:t>05</w:t>
      </w:r>
      <w:r w:rsidRPr="00936D3E">
        <w:rPr>
          <w:sz w:val="28"/>
          <w:szCs w:val="28"/>
        </w:rPr>
        <w:t>.202</w:t>
      </w:r>
      <w:r w:rsidR="009858D7">
        <w:rPr>
          <w:sz w:val="28"/>
          <w:szCs w:val="28"/>
        </w:rPr>
        <w:t>1</w:t>
      </w:r>
      <w:r w:rsidRPr="00936D3E">
        <w:rPr>
          <w:sz w:val="28"/>
          <w:szCs w:val="28"/>
        </w:rPr>
        <w:t xml:space="preserve"> г. №</w:t>
      </w:r>
      <w:r w:rsidR="009858D7">
        <w:rPr>
          <w:sz w:val="28"/>
          <w:szCs w:val="28"/>
        </w:rPr>
        <w:t>16</w:t>
      </w:r>
      <w:r w:rsidRPr="00936D3E">
        <w:rPr>
          <w:sz w:val="28"/>
          <w:szCs w:val="28"/>
        </w:rPr>
        <w:t xml:space="preserve"> в соответствии с ч.2 ст. 9 Федерального закона Российской Федерации «Об общих принципах организации и деятельности контрольно-счетных органов субъектов Российской Федерации и муниципальных образований».</w:t>
      </w:r>
    </w:p>
    <w:p w:rsidR="0018380E" w:rsidRPr="00936D3E" w:rsidRDefault="0018380E" w:rsidP="0018380E">
      <w:pPr>
        <w:ind w:firstLine="567"/>
        <w:jc w:val="both"/>
        <w:rPr>
          <w:sz w:val="28"/>
          <w:szCs w:val="28"/>
        </w:rPr>
      </w:pPr>
    </w:p>
    <w:p w:rsidR="009858D7" w:rsidRPr="009858D7" w:rsidRDefault="009858D7" w:rsidP="009858D7">
      <w:pPr>
        <w:pStyle w:val="a5"/>
        <w:widowControl w:val="0"/>
        <w:numPr>
          <w:ilvl w:val="0"/>
          <w:numId w:val="2"/>
        </w:numPr>
        <w:autoSpaceDE w:val="0"/>
        <w:autoSpaceDN w:val="0"/>
        <w:adjustRightInd w:val="0"/>
        <w:ind w:left="0" w:firstLine="0"/>
        <w:jc w:val="both"/>
        <w:rPr>
          <w:rFonts w:eastAsia="Calibri"/>
          <w:sz w:val="28"/>
          <w:szCs w:val="28"/>
        </w:rPr>
      </w:pPr>
      <w:r w:rsidRPr="009858D7">
        <w:rPr>
          <w:rFonts w:eastAsia="Calibri"/>
          <w:sz w:val="28"/>
          <w:szCs w:val="28"/>
        </w:rPr>
        <w:t>Предмет экспертно-аналитического мероприятия:</w:t>
      </w:r>
    </w:p>
    <w:p w:rsidR="009858D7" w:rsidRPr="009858D7" w:rsidRDefault="009858D7" w:rsidP="009858D7">
      <w:pPr>
        <w:pStyle w:val="a5"/>
        <w:widowControl w:val="0"/>
        <w:autoSpaceDE w:val="0"/>
        <w:autoSpaceDN w:val="0"/>
        <w:adjustRightInd w:val="0"/>
        <w:ind w:left="0"/>
        <w:jc w:val="both"/>
        <w:rPr>
          <w:rFonts w:eastAsia="Calibri"/>
          <w:sz w:val="28"/>
          <w:szCs w:val="28"/>
        </w:rPr>
      </w:pPr>
      <w:r w:rsidRPr="009858D7">
        <w:rPr>
          <w:rFonts w:eastAsia="Calibri"/>
          <w:sz w:val="28"/>
          <w:szCs w:val="28"/>
        </w:rPr>
        <w:t xml:space="preserve">   средства бюджета </w:t>
      </w:r>
      <w:proofErr w:type="spellStart"/>
      <w:r w:rsidRPr="009858D7">
        <w:rPr>
          <w:rFonts w:eastAsia="Calibri"/>
          <w:sz w:val="28"/>
          <w:szCs w:val="28"/>
        </w:rPr>
        <w:t>Тайшетского</w:t>
      </w:r>
      <w:proofErr w:type="spellEnd"/>
      <w:r w:rsidRPr="009858D7">
        <w:rPr>
          <w:rFonts w:eastAsia="Calibri"/>
          <w:sz w:val="28"/>
          <w:szCs w:val="28"/>
        </w:rPr>
        <w:t xml:space="preserve"> городского поселения, направленные на исполнение муниципального задания МБУ «Городское хозяйство».</w:t>
      </w:r>
    </w:p>
    <w:p w:rsidR="009858D7" w:rsidRPr="009858D7" w:rsidRDefault="009858D7" w:rsidP="009858D7">
      <w:pPr>
        <w:widowControl w:val="0"/>
        <w:autoSpaceDE w:val="0"/>
        <w:autoSpaceDN w:val="0"/>
        <w:adjustRightInd w:val="0"/>
        <w:ind w:left="720" w:hanging="720"/>
        <w:jc w:val="both"/>
        <w:rPr>
          <w:sz w:val="28"/>
          <w:szCs w:val="28"/>
        </w:rPr>
      </w:pPr>
      <w:r>
        <w:rPr>
          <w:sz w:val="28"/>
          <w:szCs w:val="28"/>
        </w:rPr>
        <w:t xml:space="preserve">2. </w:t>
      </w:r>
      <w:r w:rsidRPr="009858D7">
        <w:rPr>
          <w:sz w:val="28"/>
          <w:szCs w:val="28"/>
        </w:rPr>
        <w:t>Объектом экспертно-аналитического мероприятия определить: МБУ «Городское хозяйство».</w:t>
      </w:r>
    </w:p>
    <w:p w:rsidR="009858D7" w:rsidRPr="009858D7" w:rsidRDefault="009858D7" w:rsidP="009858D7">
      <w:pPr>
        <w:pStyle w:val="a5"/>
        <w:widowControl w:val="0"/>
        <w:numPr>
          <w:ilvl w:val="0"/>
          <w:numId w:val="1"/>
        </w:numPr>
        <w:autoSpaceDE w:val="0"/>
        <w:autoSpaceDN w:val="0"/>
        <w:adjustRightInd w:val="0"/>
        <w:ind w:left="0" w:firstLine="0"/>
        <w:rPr>
          <w:rFonts w:eastAsia="Calibri"/>
          <w:sz w:val="28"/>
          <w:szCs w:val="28"/>
        </w:rPr>
      </w:pPr>
      <w:r w:rsidRPr="009858D7">
        <w:rPr>
          <w:rFonts w:eastAsia="Calibri"/>
          <w:sz w:val="28"/>
          <w:szCs w:val="28"/>
        </w:rPr>
        <w:t xml:space="preserve">Установить исследуемый период: 2021 год. </w:t>
      </w:r>
    </w:p>
    <w:p w:rsidR="009858D7" w:rsidRPr="009858D7" w:rsidRDefault="009858D7" w:rsidP="009858D7">
      <w:pPr>
        <w:pStyle w:val="a5"/>
        <w:widowControl w:val="0"/>
        <w:numPr>
          <w:ilvl w:val="0"/>
          <w:numId w:val="1"/>
        </w:numPr>
        <w:autoSpaceDE w:val="0"/>
        <w:autoSpaceDN w:val="0"/>
        <w:adjustRightInd w:val="0"/>
        <w:ind w:left="0" w:firstLine="0"/>
        <w:jc w:val="both"/>
        <w:rPr>
          <w:rFonts w:eastAsia="Calibri"/>
          <w:sz w:val="28"/>
          <w:szCs w:val="28"/>
        </w:rPr>
      </w:pPr>
      <w:r w:rsidRPr="009858D7">
        <w:rPr>
          <w:rFonts w:eastAsia="Calibri"/>
          <w:sz w:val="28"/>
          <w:szCs w:val="28"/>
        </w:rPr>
        <w:t>Экспертно-аналитическое мероприятие провести в срок до 28.05.2021 года.</w:t>
      </w:r>
    </w:p>
    <w:p w:rsidR="009858D7" w:rsidRPr="009858D7" w:rsidRDefault="009858D7" w:rsidP="009858D7">
      <w:pPr>
        <w:pStyle w:val="a5"/>
        <w:widowControl w:val="0"/>
        <w:numPr>
          <w:ilvl w:val="0"/>
          <w:numId w:val="1"/>
        </w:numPr>
        <w:autoSpaceDE w:val="0"/>
        <w:autoSpaceDN w:val="0"/>
        <w:adjustRightInd w:val="0"/>
        <w:ind w:left="0" w:firstLine="0"/>
        <w:jc w:val="both"/>
        <w:rPr>
          <w:rFonts w:eastAsia="Calibri"/>
          <w:sz w:val="28"/>
          <w:szCs w:val="28"/>
        </w:rPr>
      </w:pPr>
      <w:r>
        <w:rPr>
          <w:rFonts w:eastAsia="Calibri"/>
          <w:sz w:val="28"/>
          <w:szCs w:val="28"/>
        </w:rPr>
        <w:t>Л</w:t>
      </w:r>
      <w:r w:rsidRPr="009858D7">
        <w:rPr>
          <w:rFonts w:eastAsia="Calibri"/>
          <w:sz w:val="28"/>
          <w:szCs w:val="28"/>
        </w:rPr>
        <w:t>ицо, уполномоченн</w:t>
      </w:r>
      <w:r>
        <w:rPr>
          <w:rFonts w:eastAsia="Calibri"/>
          <w:sz w:val="28"/>
          <w:szCs w:val="28"/>
        </w:rPr>
        <w:t>ое</w:t>
      </w:r>
      <w:r w:rsidRPr="009858D7">
        <w:rPr>
          <w:rFonts w:eastAsia="Calibri"/>
          <w:sz w:val="28"/>
          <w:szCs w:val="28"/>
        </w:rPr>
        <w:t xml:space="preserve"> на проведение экспертно-аналитического </w:t>
      </w:r>
      <w:r w:rsidR="003E3662">
        <w:rPr>
          <w:rFonts w:eastAsia="Calibri"/>
          <w:sz w:val="28"/>
          <w:szCs w:val="28"/>
        </w:rPr>
        <w:t xml:space="preserve"> мероприятия -</w:t>
      </w:r>
      <w:r w:rsidRPr="009858D7">
        <w:rPr>
          <w:rFonts w:eastAsia="Calibri"/>
          <w:sz w:val="28"/>
          <w:szCs w:val="28"/>
        </w:rPr>
        <w:t xml:space="preserve"> председател</w:t>
      </w:r>
      <w:r w:rsidR="003E3662">
        <w:rPr>
          <w:rFonts w:eastAsia="Calibri"/>
          <w:sz w:val="28"/>
          <w:szCs w:val="28"/>
        </w:rPr>
        <w:t>ь</w:t>
      </w:r>
      <w:r w:rsidRPr="009858D7">
        <w:rPr>
          <w:rFonts w:eastAsia="Calibri"/>
          <w:sz w:val="28"/>
          <w:szCs w:val="28"/>
        </w:rPr>
        <w:t xml:space="preserve"> Контрольно-счетной палаты </w:t>
      </w:r>
      <w:proofErr w:type="spellStart"/>
      <w:r w:rsidRPr="009858D7">
        <w:rPr>
          <w:rFonts w:eastAsia="Calibri"/>
          <w:sz w:val="28"/>
          <w:szCs w:val="28"/>
        </w:rPr>
        <w:t>Тайшетского</w:t>
      </w:r>
      <w:proofErr w:type="spellEnd"/>
      <w:r w:rsidRPr="009858D7">
        <w:rPr>
          <w:rFonts w:eastAsia="Calibri"/>
          <w:sz w:val="28"/>
          <w:szCs w:val="28"/>
        </w:rPr>
        <w:t xml:space="preserve"> городского поселения  Е.В. Богатырев</w:t>
      </w:r>
      <w:r w:rsidR="003E3662">
        <w:rPr>
          <w:rFonts w:eastAsia="Calibri"/>
          <w:sz w:val="28"/>
          <w:szCs w:val="28"/>
        </w:rPr>
        <w:t>а</w:t>
      </w:r>
      <w:r w:rsidRPr="009858D7">
        <w:rPr>
          <w:rFonts w:eastAsia="Calibri"/>
          <w:sz w:val="28"/>
          <w:szCs w:val="28"/>
        </w:rPr>
        <w:t>.</w:t>
      </w:r>
    </w:p>
    <w:p w:rsidR="003E3662" w:rsidRDefault="003E3662" w:rsidP="009858D7">
      <w:pPr>
        <w:ind w:firstLine="567"/>
        <w:jc w:val="both"/>
        <w:rPr>
          <w:b/>
          <w:sz w:val="28"/>
          <w:szCs w:val="28"/>
        </w:rPr>
      </w:pPr>
    </w:p>
    <w:p w:rsidR="0018380E" w:rsidRPr="00936D3E" w:rsidRDefault="0018380E" w:rsidP="009858D7">
      <w:pPr>
        <w:ind w:firstLine="567"/>
        <w:jc w:val="both"/>
        <w:rPr>
          <w:b/>
          <w:sz w:val="28"/>
          <w:szCs w:val="28"/>
        </w:rPr>
      </w:pPr>
      <w:r w:rsidRPr="00936D3E">
        <w:rPr>
          <w:b/>
          <w:sz w:val="28"/>
          <w:szCs w:val="28"/>
        </w:rPr>
        <w:t>В ходе  проведения экспертно-аналитического мероприятия  установлено следующее:</w:t>
      </w:r>
    </w:p>
    <w:p w:rsidR="0018380E" w:rsidRPr="00936D3E" w:rsidRDefault="0018380E" w:rsidP="0018380E">
      <w:pPr>
        <w:ind w:firstLine="567"/>
        <w:jc w:val="both"/>
        <w:rPr>
          <w:b/>
          <w:sz w:val="28"/>
          <w:szCs w:val="28"/>
        </w:rPr>
      </w:pPr>
    </w:p>
    <w:p w:rsidR="009858D7" w:rsidRPr="003E3662" w:rsidRDefault="003E3662" w:rsidP="003E3662">
      <w:pPr>
        <w:pStyle w:val="a3"/>
        <w:ind w:firstLine="284"/>
        <w:jc w:val="both"/>
        <w:rPr>
          <w:sz w:val="28"/>
          <w:szCs w:val="28"/>
        </w:rPr>
      </w:pPr>
      <w:r>
        <w:tab/>
      </w:r>
      <w:r w:rsidR="009858D7" w:rsidRPr="003E3662">
        <w:rPr>
          <w:sz w:val="28"/>
          <w:szCs w:val="28"/>
        </w:rPr>
        <w:t xml:space="preserve">Контрольно-счетная палата  </w:t>
      </w:r>
      <w:proofErr w:type="spellStart"/>
      <w:r w:rsidR="009858D7" w:rsidRPr="003E3662">
        <w:rPr>
          <w:sz w:val="28"/>
          <w:szCs w:val="28"/>
        </w:rPr>
        <w:t>Тайшетского</w:t>
      </w:r>
      <w:proofErr w:type="spellEnd"/>
      <w:r w:rsidR="009858D7" w:rsidRPr="003E3662">
        <w:rPr>
          <w:sz w:val="28"/>
          <w:szCs w:val="28"/>
        </w:rPr>
        <w:t xml:space="preserve"> городского поселения, на основании  предложения депутата Думы     </w:t>
      </w:r>
      <w:proofErr w:type="spellStart"/>
      <w:r w:rsidR="009858D7" w:rsidRPr="003E3662">
        <w:rPr>
          <w:sz w:val="28"/>
          <w:szCs w:val="28"/>
        </w:rPr>
        <w:t>Тайшетского</w:t>
      </w:r>
      <w:proofErr w:type="spellEnd"/>
      <w:r w:rsidR="009858D7" w:rsidRPr="003E3662">
        <w:rPr>
          <w:sz w:val="28"/>
          <w:szCs w:val="28"/>
        </w:rPr>
        <w:t xml:space="preserve"> городского поселения Зуевой Э.В. (протокол заседания Думы </w:t>
      </w:r>
      <w:proofErr w:type="spellStart"/>
      <w:r w:rsidR="009858D7" w:rsidRPr="003E3662">
        <w:rPr>
          <w:sz w:val="28"/>
          <w:szCs w:val="28"/>
        </w:rPr>
        <w:t>Тайшетского</w:t>
      </w:r>
      <w:proofErr w:type="spellEnd"/>
      <w:r w:rsidR="009858D7" w:rsidRPr="003E3662">
        <w:rPr>
          <w:sz w:val="28"/>
          <w:szCs w:val="28"/>
        </w:rPr>
        <w:t xml:space="preserve"> городского поселения №40 от 29.04.2021 г.), провела проверку закупки  песчано-</w:t>
      </w:r>
      <w:r w:rsidR="009858D7" w:rsidRPr="003E3662">
        <w:rPr>
          <w:sz w:val="28"/>
          <w:szCs w:val="28"/>
        </w:rPr>
        <w:lastRenderedPageBreak/>
        <w:t xml:space="preserve">гравийной смеси (ПГС) муниципальным бюджетным учреждением «Городское хозяйство» в 2021 году. </w:t>
      </w:r>
    </w:p>
    <w:p w:rsidR="009858D7" w:rsidRPr="003E3662" w:rsidRDefault="009858D7" w:rsidP="009858D7">
      <w:pPr>
        <w:pStyle w:val="a3"/>
        <w:jc w:val="both"/>
        <w:rPr>
          <w:sz w:val="28"/>
          <w:szCs w:val="28"/>
        </w:rPr>
      </w:pPr>
    </w:p>
    <w:p w:rsidR="009858D7" w:rsidRPr="003E3662" w:rsidRDefault="009858D7" w:rsidP="009858D7">
      <w:pPr>
        <w:pStyle w:val="a3"/>
        <w:jc w:val="both"/>
        <w:rPr>
          <w:sz w:val="28"/>
          <w:szCs w:val="28"/>
        </w:rPr>
      </w:pPr>
      <w:r w:rsidRPr="003E3662">
        <w:rPr>
          <w:sz w:val="28"/>
          <w:szCs w:val="28"/>
        </w:rPr>
        <w:t xml:space="preserve">       12 апреля 2021 года между МБУ «Городское хозяйство» и ИП Гладких Константином Владимировичем был заключен муниципальный контракт №021 на поставку песчано-гравийной смеси (далее </w:t>
      </w:r>
      <w:proofErr w:type="gramStart"/>
      <w:r w:rsidRPr="003E3662">
        <w:rPr>
          <w:sz w:val="28"/>
          <w:szCs w:val="28"/>
        </w:rPr>
        <w:t>–К</w:t>
      </w:r>
      <w:proofErr w:type="gramEnd"/>
      <w:r w:rsidRPr="003E3662">
        <w:rPr>
          <w:sz w:val="28"/>
          <w:szCs w:val="28"/>
        </w:rPr>
        <w:t>онтракт), в соответствии с которым МБУ «Городское хозяйство» является «Заказчиком», а ИП Гладких К.В. – «Поставщиком».</w:t>
      </w:r>
    </w:p>
    <w:p w:rsidR="009858D7" w:rsidRPr="003E3662" w:rsidRDefault="009858D7" w:rsidP="009858D7">
      <w:pPr>
        <w:pStyle w:val="a3"/>
        <w:jc w:val="both"/>
        <w:rPr>
          <w:sz w:val="28"/>
          <w:szCs w:val="28"/>
        </w:rPr>
      </w:pPr>
      <w:r w:rsidRPr="003E3662">
        <w:rPr>
          <w:sz w:val="28"/>
          <w:szCs w:val="28"/>
        </w:rPr>
        <w:t xml:space="preserve">         В соответствии  с п. 1.1 указанного Контракта «Поставщик» обязуется собственными силами своевременного  поставить «Заказчику» песчано-гравийную смесь.</w:t>
      </w:r>
    </w:p>
    <w:p w:rsidR="009858D7" w:rsidRPr="003E3662" w:rsidRDefault="009858D7" w:rsidP="009858D7">
      <w:pPr>
        <w:pStyle w:val="a3"/>
        <w:jc w:val="both"/>
        <w:rPr>
          <w:sz w:val="28"/>
          <w:szCs w:val="28"/>
        </w:rPr>
      </w:pPr>
      <w:r w:rsidRPr="003E3662">
        <w:rPr>
          <w:sz w:val="28"/>
          <w:szCs w:val="28"/>
        </w:rPr>
        <w:t xml:space="preserve">    Извещение №033460000252000021 и документация о проведении электронного аукциона были размещены на официальном сайте единой информационной системы в сфере закупок </w:t>
      </w:r>
      <w:r w:rsidRPr="003E3662">
        <w:rPr>
          <w:sz w:val="28"/>
          <w:szCs w:val="28"/>
          <w:lang w:val="en-US"/>
        </w:rPr>
        <w:t>http</w:t>
      </w:r>
      <w:r w:rsidRPr="003E3662">
        <w:rPr>
          <w:sz w:val="28"/>
          <w:szCs w:val="28"/>
        </w:rPr>
        <w:t xml:space="preserve">:// </w:t>
      </w:r>
      <w:proofErr w:type="spellStart"/>
      <w:r w:rsidRPr="003E3662">
        <w:rPr>
          <w:sz w:val="28"/>
          <w:szCs w:val="28"/>
          <w:lang w:val="en-US"/>
        </w:rPr>
        <w:t>zakupki</w:t>
      </w:r>
      <w:proofErr w:type="spellEnd"/>
      <w:r w:rsidRPr="003E3662">
        <w:rPr>
          <w:sz w:val="28"/>
          <w:szCs w:val="28"/>
        </w:rPr>
        <w:t>.</w:t>
      </w:r>
      <w:proofErr w:type="spellStart"/>
      <w:r w:rsidRPr="003E3662">
        <w:rPr>
          <w:sz w:val="28"/>
          <w:szCs w:val="28"/>
          <w:lang w:val="en-US"/>
        </w:rPr>
        <w:t>gov</w:t>
      </w:r>
      <w:proofErr w:type="spellEnd"/>
      <w:r w:rsidRPr="003E3662">
        <w:rPr>
          <w:sz w:val="28"/>
          <w:szCs w:val="28"/>
        </w:rPr>
        <w:t>.</w:t>
      </w:r>
      <w:proofErr w:type="spellStart"/>
      <w:r w:rsidRPr="003E3662">
        <w:rPr>
          <w:sz w:val="28"/>
          <w:szCs w:val="28"/>
          <w:lang w:val="en-US"/>
        </w:rPr>
        <w:t>ru</w:t>
      </w:r>
      <w:proofErr w:type="spellEnd"/>
      <w:r w:rsidRPr="003E3662">
        <w:rPr>
          <w:sz w:val="28"/>
          <w:szCs w:val="28"/>
        </w:rPr>
        <w:t>.</w:t>
      </w:r>
    </w:p>
    <w:p w:rsidR="009858D7" w:rsidRPr="003E3662" w:rsidRDefault="009858D7" w:rsidP="009858D7">
      <w:pPr>
        <w:pStyle w:val="a3"/>
        <w:jc w:val="both"/>
        <w:rPr>
          <w:sz w:val="28"/>
          <w:szCs w:val="28"/>
        </w:rPr>
      </w:pPr>
      <w:r w:rsidRPr="003E3662">
        <w:rPr>
          <w:sz w:val="28"/>
          <w:szCs w:val="28"/>
        </w:rPr>
        <w:t xml:space="preserve">    </w:t>
      </w:r>
      <w:proofErr w:type="gramStart"/>
      <w:r w:rsidRPr="003E3662">
        <w:rPr>
          <w:sz w:val="28"/>
          <w:szCs w:val="28"/>
        </w:rPr>
        <w:t>В соответствии с п.1 ч.1 ст. 64 Федерального закона №44-ФЗ  от 05.04.2013 г.  «О контрактной системе в сфере закупок товаров, работ, услуг для обеспечения государственных и муниципальных нужд» (далее - №44-ФЗ)  документация об электронном аукционе наряду с информацией, указанной в извещении о проведении такого аукциона, должна содержать наименование и описание объекта закупки и условия контракта в соответствии со статьей</w:t>
      </w:r>
      <w:proofErr w:type="gramEnd"/>
      <w:r w:rsidRPr="003E3662">
        <w:rPr>
          <w:sz w:val="28"/>
          <w:szCs w:val="28"/>
        </w:rPr>
        <w:t xml:space="preserve"> 33   данного Федерального закона, в том числе обоснование начальной (максимальной) цены контракта.</w:t>
      </w:r>
    </w:p>
    <w:p w:rsidR="009858D7" w:rsidRPr="003E3662" w:rsidRDefault="009858D7" w:rsidP="009858D7">
      <w:pPr>
        <w:pStyle w:val="a3"/>
        <w:jc w:val="both"/>
        <w:rPr>
          <w:sz w:val="28"/>
          <w:szCs w:val="28"/>
        </w:rPr>
      </w:pPr>
      <w:r w:rsidRPr="003E3662">
        <w:rPr>
          <w:sz w:val="28"/>
          <w:szCs w:val="28"/>
        </w:rPr>
        <w:t xml:space="preserve">     </w:t>
      </w:r>
      <w:proofErr w:type="gramStart"/>
      <w:r w:rsidRPr="003E3662">
        <w:rPr>
          <w:sz w:val="28"/>
          <w:szCs w:val="28"/>
        </w:rPr>
        <w:t xml:space="preserve">Пунктом  2 ст.  42 Закона №44-ФЗ установлено, что извещение  об осуществлении закупки должно содержать краткое изложение условий контракта, содержащее наименование и описание объекта закупки с учетом   требований, предусмотренных ст. 33 Закона №44-ФЗ, </w:t>
      </w:r>
      <w:r w:rsidRPr="003E3662">
        <w:rPr>
          <w:b/>
          <w:sz w:val="28"/>
          <w:szCs w:val="28"/>
        </w:rPr>
        <w:t>информацию о количестве</w:t>
      </w:r>
      <w:r w:rsidRPr="003E3662">
        <w:rPr>
          <w:sz w:val="28"/>
          <w:szCs w:val="28"/>
        </w:rPr>
        <w:t xml:space="preserve"> и месте доставки </w:t>
      </w:r>
      <w:r w:rsidRPr="003E3662">
        <w:rPr>
          <w:b/>
          <w:sz w:val="28"/>
          <w:szCs w:val="28"/>
        </w:rPr>
        <w:t>товара, являющегося предметом контракта</w:t>
      </w:r>
      <w:r w:rsidRPr="003E3662">
        <w:rPr>
          <w:sz w:val="28"/>
          <w:szCs w:val="28"/>
        </w:rPr>
        <w:t>, месте выполнения работы или оказания услуги, являющихся предметом контракта, а так же сроках поставки товара или завершения работы</w:t>
      </w:r>
      <w:proofErr w:type="gramEnd"/>
      <w:r w:rsidRPr="003E3662">
        <w:rPr>
          <w:sz w:val="28"/>
          <w:szCs w:val="28"/>
        </w:rPr>
        <w:t xml:space="preserve">, либо график оказания услуг, начальную (максимальную) цену контракта (НМЦК), источник финансирования. </w:t>
      </w:r>
    </w:p>
    <w:p w:rsidR="009858D7" w:rsidRPr="003E3662" w:rsidRDefault="009858D7" w:rsidP="009858D7">
      <w:pPr>
        <w:pStyle w:val="a3"/>
        <w:jc w:val="both"/>
        <w:rPr>
          <w:sz w:val="28"/>
          <w:szCs w:val="28"/>
        </w:rPr>
      </w:pPr>
      <w:r w:rsidRPr="003E3662">
        <w:rPr>
          <w:sz w:val="28"/>
          <w:szCs w:val="28"/>
        </w:rPr>
        <w:t xml:space="preserve">      Согласно ч. 3 ст. 7  Закона №44-ФЗ информация, предусмотренная данным Федеральным законом и размещенная в единой информационной системе (ЕИС), должна быть  полной и достоверной. </w:t>
      </w:r>
    </w:p>
    <w:p w:rsidR="009858D7" w:rsidRPr="003E3662" w:rsidRDefault="009858D7" w:rsidP="009858D7">
      <w:pPr>
        <w:pStyle w:val="a3"/>
        <w:jc w:val="both"/>
        <w:rPr>
          <w:sz w:val="28"/>
          <w:szCs w:val="28"/>
        </w:rPr>
      </w:pPr>
      <w:r w:rsidRPr="003E3662">
        <w:rPr>
          <w:sz w:val="28"/>
          <w:szCs w:val="28"/>
        </w:rPr>
        <w:tab/>
        <w:t xml:space="preserve">   В Приложении №1  к аукционной документации «Заказчиком» - МБУ «Городское хозяйство» произведен расчет и обоснование  НМЦК, где определена средняя цена товара за 1000,0 тонн, в графе «Количество»  стоит 1. В документации об электронном аукционе на право заключения муниципального контракта на поставку песчано-гравийной смеси в Приложении№1 к проекту  муниципального контракта - спецификации, также в техническом задании в требовании к количеству товара допущена техническая ошибк</w:t>
      </w:r>
      <w:proofErr w:type="gramStart"/>
      <w:r w:rsidRPr="003E3662">
        <w:rPr>
          <w:sz w:val="28"/>
          <w:szCs w:val="28"/>
        </w:rPr>
        <w:t>а-</w:t>
      </w:r>
      <w:proofErr w:type="gramEnd"/>
      <w:r w:rsidRPr="003E3662">
        <w:rPr>
          <w:sz w:val="28"/>
          <w:szCs w:val="28"/>
        </w:rPr>
        <w:t xml:space="preserve"> количество поставляемого товара указана – 1 тонна, а необходимо – 1000 т.</w:t>
      </w:r>
    </w:p>
    <w:p w:rsidR="009858D7" w:rsidRPr="003E3662" w:rsidRDefault="009858D7" w:rsidP="009858D7">
      <w:pPr>
        <w:pStyle w:val="a3"/>
        <w:jc w:val="both"/>
        <w:rPr>
          <w:sz w:val="28"/>
          <w:szCs w:val="28"/>
        </w:rPr>
      </w:pPr>
      <w:r w:rsidRPr="003E3662">
        <w:rPr>
          <w:sz w:val="28"/>
          <w:szCs w:val="28"/>
        </w:rPr>
        <w:t xml:space="preserve">       Оплата за поставку товара должна была производиться за счет средств бюджета </w:t>
      </w:r>
      <w:proofErr w:type="spellStart"/>
      <w:r w:rsidRPr="003E3662">
        <w:rPr>
          <w:sz w:val="28"/>
          <w:szCs w:val="28"/>
        </w:rPr>
        <w:t>Тайшетского</w:t>
      </w:r>
      <w:proofErr w:type="spellEnd"/>
      <w:r w:rsidRPr="003E3662">
        <w:rPr>
          <w:sz w:val="28"/>
          <w:szCs w:val="28"/>
        </w:rPr>
        <w:t xml:space="preserve"> городского поселения.</w:t>
      </w:r>
    </w:p>
    <w:p w:rsidR="009858D7" w:rsidRPr="003E3662" w:rsidRDefault="009858D7" w:rsidP="009858D7">
      <w:pPr>
        <w:pStyle w:val="a3"/>
        <w:jc w:val="both"/>
        <w:rPr>
          <w:sz w:val="28"/>
          <w:szCs w:val="28"/>
        </w:rPr>
      </w:pPr>
      <w:r w:rsidRPr="003E3662">
        <w:rPr>
          <w:sz w:val="28"/>
          <w:szCs w:val="28"/>
        </w:rPr>
        <w:lastRenderedPageBreak/>
        <w:t xml:space="preserve">        Согласно п. 1 ст. 451 Гражданского кодекса РФ   существенное изменение обстоятельств, из которых стороны исходили при заключении Контракта, является основанием для его изменения или расторжения, если иное не предусмотрено Контрактом или не вытекает из его существа.</w:t>
      </w:r>
    </w:p>
    <w:p w:rsidR="009858D7" w:rsidRPr="003E3662" w:rsidRDefault="009858D7" w:rsidP="009858D7">
      <w:pPr>
        <w:pStyle w:val="a3"/>
        <w:jc w:val="both"/>
        <w:rPr>
          <w:sz w:val="28"/>
          <w:szCs w:val="28"/>
        </w:rPr>
      </w:pPr>
      <w:r w:rsidRPr="003E3662">
        <w:rPr>
          <w:sz w:val="28"/>
          <w:szCs w:val="28"/>
        </w:rPr>
        <w:t xml:space="preserve">   В результате обнаружения технической ошибки становится очевидным, что Контракт  заключен по очень завышенной цене.</w:t>
      </w:r>
    </w:p>
    <w:p w:rsidR="009858D7" w:rsidRPr="003E3662" w:rsidRDefault="009858D7" w:rsidP="009858D7">
      <w:pPr>
        <w:pStyle w:val="a3"/>
        <w:jc w:val="both"/>
        <w:rPr>
          <w:sz w:val="28"/>
          <w:szCs w:val="28"/>
        </w:rPr>
      </w:pPr>
      <w:r w:rsidRPr="003E3662">
        <w:rPr>
          <w:sz w:val="28"/>
          <w:szCs w:val="28"/>
        </w:rPr>
        <w:t xml:space="preserve">   Средняя стоимость 1 тонны составляет – 1133,33 рубля, об этом свидетельствуют  данные коммерческих предложений. На сайте ЕИС  и в документации о проведении  электронного аукциона указана стоимость (расчет НМЦК) за 1000 тонн.</w:t>
      </w:r>
    </w:p>
    <w:p w:rsidR="009858D7" w:rsidRPr="003E3662" w:rsidRDefault="009858D7" w:rsidP="009858D7">
      <w:pPr>
        <w:pStyle w:val="a3"/>
        <w:jc w:val="both"/>
        <w:rPr>
          <w:sz w:val="28"/>
          <w:szCs w:val="28"/>
        </w:rPr>
      </w:pPr>
      <w:r w:rsidRPr="003E3662">
        <w:rPr>
          <w:sz w:val="28"/>
          <w:szCs w:val="28"/>
        </w:rPr>
        <w:t xml:space="preserve">   </w:t>
      </w:r>
    </w:p>
    <w:p w:rsidR="009858D7" w:rsidRPr="003E3662" w:rsidRDefault="009858D7" w:rsidP="009858D7">
      <w:pPr>
        <w:pStyle w:val="a3"/>
        <w:jc w:val="both"/>
        <w:rPr>
          <w:sz w:val="28"/>
          <w:szCs w:val="28"/>
        </w:rPr>
      </w:pPr>
      <w:r w:rsidRPr="003E3662">
        <w:rPr>
          <w:sz w:val="28"/>
          <w:szCs w:val="28"/>
        </w:rPr>
        <w:t xml:space="preserve">    В результате допущенной технической  ошибки и несогласия  поставщика ИП </w:t>
      </w:r>
      <w:proofErr w:type="gramStart"/>
      <w:r w:rsidRPr="003E3662">
        <w:rPr>
          <w:sz w:val="28"/>
          <w:szCs w:val="28"/>
        </w:rPr>
        <w:t>Гладких</w:t>
      </w:r>
      <w:proofErr w:type="gramEnd"/>
      <w:r w:rsidRPr="003E3662">
        <w:rPr>
          <w:sz w:val="28"/>
          <w:szCs w:val="28"/>
        </w:rPr>
        <w:t xml:space="preserve"> К.В.  добровольно расторгнуть контракт не представляется возможным.</w:t>
      </w:r>
    </w:p>
    <w:p w:rsidR="009858D7" w:rsidRPr="003E3662" w:rsidRDefault="009858D7" w:rsidP="009858D7">
      <w:pPr>
        <w:pStyle w:val="a3"/>
        <w:jc w:val="both"/>
        <w:rPr>
          <w:sz w:val="28"/>
          <w:szCs w:val="28"/>
        </w:rPr>
      </w:pPr>
      <w:r w:rsidRPr="003E3662">
        <w:rPr>
          <w:sz w:val="28"/>
          <w:szCs w:val="28"/>
        </w:rPr>
        <w:t xml:space="preserve">    В соответствии с п.2 ст. 451 Гражданского кодекса РФ, если стороны не достигли соглашения о приведении Контракта в соответствие с существенно  изменившимися обстоятельствами или о его расторжении, Контракт может быть расторгнут.</w:t>
      </w:r>
    </w:p>
    <w:p w:rsidR="009858D7" w:rsidRPr="003E3662" w:rsidRDefault="009858D7" w:rsidP="009858D7">
      <w:pPr>
        <w:pStyle w:val="a3"/>
        <w:jc w:val="both"/>
        <w:rPr>
          <w:sz w:val="28"/>
          <w:szCs w:val="28"/>
        </w:rPr>
      </w:pPr>
    </w:p>
    <w:p w:rsidR="009858D7" w:rsidRPr="003E3662" w:rsidRDefault="009858D7" w:rsidP="009858D7">
      <w:pPr>
        <w:pStyle w:val="a3"/>
        <w:jc w:val="both"/>
        <w:rPr>
          <w:sz w:val="28"/>
          <w:szCs w:val="28"/>
        </w:rPr>
      </w:pPr>
      <w:r w:rsidRPr="003E3662">
        <w:rPr>
          <w:sz w:val="28"/>
          <w:szCs w:val="28"/>
        </w:rPr>
        <w:t xml:space="preserve">     </w:t>
      </w:r>
      <w:proofErr w:type="gramStart"/>
      <w:r w:rsidRPr="003E3662">
        <w:rPr>
          <w:sz w:val="28"/>
          <w:szCs w:val="28"/>
        </w:rPr>
        <w:t>Исходящим письмом №47 от 15.04.2021 г.  МБУ «Городское хозяйство» за подписью директора Лукьянчикова В.В. направило поставщику ИП Гладких К.В.  Уведомление о расторжении Контракта, а так же Проект Соглашения о расторжении контракта в связи с существенным изменением обстоятельств,  из которых стороны исходили при заключении контракта и невозможностью исполнения контракта, просьбой отменить поставку по данному Контракту.</w:t>
      </w:r>
      <w:proofErr w:type="gramEnd"/>
      <w:r w:rsidRPr="003E3662">
        <w:rPr>
          <w:sz w:val="28"/>
          <w:szCs w:val="28"/>
        </w:rPr>
        <w:t xml:space="preserve">  Так же, </w:t>
      </w:r>
      <w:r w:rsidR="00767493">
        <w:rPr>
          <w:sz w:val="28"/>
          <w:szCs w:val="28"/>
        </w:rPr>
        <w:t>юрист</w:t>
      </w:r>
      <w:r w:rsidRPr="003E3662">
        <w:rPr>
          <w:sz w:val="28"/>
          <w:szCs w:val="28"/>
        </w:rPr>
        <w:t xml:space="preserve"> МБУ «Городское хозяйство» разговаривал с ИП Гладких К.В.  по телефону, в разговоре было предложено расторгнуть Контракт по соглашению сторон, возместить понесенные им  затраты и приобрести  товар по п.4 ч. 1 Закона №44-ФЗ. В ответ на Уведомление о расторжении контракта ИП </w:t>
      </w:r>
      <w:proofErr w:type="gramStart"/>
      <w:r w:rsidRPr="003E3662">
        <w:rPr>
          <w:sz w:val="28"/>
          <w:szCs w:val="28"/>
        </w:rPr>
        <w:t>Гладких</w:t>
      </w:r>
      <w:proofErr w:type="gramEnd"/>
      <w:r w:rsidRPr="003E3662">
        <w:rPr>
          <w:sz w:val="28"/>
          <w:szCs w:val="28"/>
        </w:rPr>
        <w:t xml:space="preserve"> К.В.  отказал в расторжении, направил товар к месту назначения  - г. Тайшет, ул. 8Марта, 2 (база МБУ «Городского хозяйства»)  фактически  1 тонну ПГС, расфасованную в мешки. </w:t>
      </w:r>
      <w:r w:rsidR="00767493">
        <w:rPr>
          <w:sz w:val="28"/>
          <w:szCs w:val="28"/>
        </w:rPr>
        <w:t>Заместитель</w:t>
      </w:r>
      <w:r w:rsidRPr="003E3662">
        <w:rPr>
          <w:sz w:val="28"/>
          <w:szCs w:val="28"/>
        </w:rPr>
        <w:t xml:space="preserve"> директора </w:t>
      </w:r>
      <w:proofErr w:type="spellStart"/>
      <w:r w:rsidR="00767493">
        <w:rPr>
          <w:sz w:val="28"/>
          <w:szCs w:val="28"/>
        </w:rPr>
        <w:t>Горегляд</w:t>
      </w:r>
      <w:proofErr w:type="spellEnd"/>
      <w:r w:rsidR="00767493">
        <w:rPr>
          <w:sz w:val="28"/>
          <w:szCs w:val="28"/>
        </w:rPr>
        <w:t xml:space="preserve"> А.В. </w:t>
      </w:r>
      <w:r w:rsidRPr="003E3662">
        <w:rPr>
          <w:sz w:val="28"/>
          <w:szCs w:val="28"/>
        </w:rPr>
        <w:t>распорядился не пр</w:t>
      </w:r>
      <w:bookmarkStart w:id="0" w:name="_GoBack"/>
      <w:bookmarkEnd w:id="0"/>
      <w:r w:rsidRPr="003E3662">
        <w:rPr>
          <w:sz w:val="28"/>
          <w:szCs w:val="28"/>
        </w:rPr>
        <w:t>инимать товар и не подписывать документы о приемке (товарно-транспортную накладную, счет, акт сдачи-приемки товара). Соответственно  оплаты за товар не произведено.</w:t>
      </w:r>
    </w:p>
    <w:p w:rsidR="009858D7" w:rsidRPr="003E3662" w:rsidRDefault="009858D7" w:rsidP="009858D7">
      <w:pPr>
        <w:pStyle w:val="a3"/>
        <w:jc w:val="both"/>
        <w:rPr>
          <w:sz w:val="28"/>
          <w:szCs w:val="28"/>
        </w:rPr>
      </w:pPr>
      <w:r w:rsidRPr="003E3662">
        <w:rPr>
          <w:sz w:val="28"/>
          <w:szCs w:val="28"/>
        </w:rPr>
        <w:t xml:space="preserve">   Также муниципальным  бюджетным учреждением «Городское хозяйство» был направлен в УФАС Иркутской области (исх. №48 от 15.04.2021 г.</w:t>
      </w:r>
      <w:proofErr w:type="gramStart"/>
      <w:r w:rsidRPr="003E3662">
        <w:rPr>
          <w:sz w:val="28"/>
          <w:szCs w:val="28"/>
        </w:rPr>
        <w:t xml:space="preserve"> )</w:t>
      </w:r>
      <w:proofErr w:type="gramEnd"/>
      <w:r w:rsidRPr="003E3662">
        <w:rPr>
          <w:sz w:val="28"/>
          <w:szCs w:val="28"/>
        </w:rPr>
        <w:t xml:space="preserve"> запрос на дачу разъяснений о возможности расторжения Контракта в связи с текущей допущенной ошибкой, приведшей к завышенной цене за единицу продукции. </w:t>
      </w:r>
    </w:p>
    <w:p w:rsidR="009858D7" w:rsidRPr="003E3662" w:rsidRDefault="009858D7" w:rsidP="009858D7">
      <w:pPr>
        <w:pStyle w:val="a3"/>
        <w:jc w:val="both"/>
        <w:rPr>
          <w:sz w:val="28"/>
          <w:szCs w:val="28"/>
        </w:rPr>
      </w:pPr>
      <w:r w:rsidRPr="003E3662">
        <w:rPr>
          <w:sz w:val="28"/>
          <w:szCs w:val="28"/>
        </w:rPr>
        <w:t xml:space="preserve">     МБУ «Городское хозяйство» 27 апреля 2021 г. направило в Арбитражный суд Иркутской области  Исковое заявление о расторжении договора в связи с существенным изменением  обстоятельств, из которых стороны исходили при заключении муниципального контракта. В связи с вышеизложенным, Определением Арбитражного суда Иркутской области от 29.04.2021 г. № </w:t>
      </w:r>
      <w:r w:rsidRPr="003E3662">
        <w:rPr>
          <w:sz w:val="28"/>
          <w:szCs w:val="28"/>
        </w:rPr>
        <w:lastRenderedPageBreak/>
        <w:t>А19-7801/2021 установлено  принять  исковое заявление к производству и назначить предварительное судебное заседание на 08.06.2021 года.</w:t>
      </w:r>
    </w:p>
    <w:p w:rsidR="009858D7" w:rsidRDefault="009858D7" w:rsidP="009858D7">
      <w:pPr>
        <w:pStyle w:val="a3"/>
        <w:jc w:val="both"/>
        <w:rPr>
          <w:sz w:val="28"/>
          <w:szCs w:val="28"/>
        </w:rPr>
      </w:pPr>
      <w:r w:rsidRPr="003E3662">
        <w:rPr>
          <w:sz w:val="28"/>
          <w:szCs w:val="28"/>
        </w:rPr>
        <w:t xml:space="preserve">    До Решения судебного органа закупка песчано-гравийной смеси приостановлена.  </w:t>
      </w:r>
    </w:p>
    <w:p w:rsidR="00394D37" w:rsidRDefault="00394D37" w:rsidP="009858D7">
      <w:pPr>
        <w:pStyle w:val="a3"/>
        <w:jc w:val="both"/>
        <w:rPr>
          <w:sz w:val="28"/>
          <w:szCs w:val="28"/>
        </w:rPr>
      </w:pPr>
    </w:p>
    <w:p w:rsidR="00394D37" w:rsidRDefault="00394D37" w:rsidP="009858D7">
      <w:pPr>
        <w:pStyle w:val="a3"/>
        <w:jc w:val="both"/>
        <w:rPr>
          <w:sz w:val="28"/>
          <w:szCs w:val="28"/>
        </w:rPr>
      </w:pPr>
    </w:p>
    <w:p w:rsidR="00394D37" w:rsidRPr="0081437D" w:rsidRDefault="008D66FA" w:rsidP="009858D7">
      <w:pPr>
        <w:pStyle w:val="a3"/>
        <w:jc w:val="both"/>
        <w:rPr>
          <w:b/>
          <w:sz w:val="28"/>
          <w:szCs w:val="28"/>
        </w:rPr>
      </w:pPr>
      <w:r w:rsidRPr="0081437D">
        <w:rPr>
          <w:b/>
          <w:sz w:val="28"/>
          <w:szCs w:val="28"/>
        </w:rPr>
        <w:t>Выводы и рекомендации:</w:t>
      </w:r>
    </w:p>
    <w:p w:rsidR="0081437D" w:rsidRDefault="0081437D" w:rsidP="009858D7">
      <w:pPr>
        <w:pStyle w:val="a3"/>
        <w:jc w:val="both"/>
        <w:rPr>
          <w:sz w:val="28"/>
          <w:szCs w:val="28"/>
        </w:rPr>
      </w:pPr>
    </w:p>
    <w:p w:rsidR="008D66FA" w:rsidRDefault="008D66FA" w:rsidP="008D66FA">
      <w:pPr>
        <w:pStyle w:val="a3"/>
        <w:ind w:firstLine="284"/>
        <w:jc w:val="both"/>
        <w:rPr>
          <w:sz w:val="28"/>
          <w:szCs w:val="28"/>
        </w:rPr>
      </w:pPr>
      <w:r>
        <w:rPr>
          <w:sz w:val="28"/>
          <w:szCs w:val="28"/>
        </w:rPr>
        <w:tab/>
        <w:t xml:space="preserve">  </w:t>
      </w:r>
      <w:r w:rsidR="0071763D">
        <w:rPr>
          <w:sz w:val="28"/>
          <w:szCs w:val="28"/>
        </w:rPr>
        <w:t xml:space="preserve">Техническая ошибка должностного лица МБУ «Городское хозяйство» при размещении электронной документации на сайте ЕИС привела к невозможности исполнения муниципального контракта. </w:t>
      </w:r>
      <w:r>
        <w:rPr>
          <w:sz w:val="28"/>
          <w:szCs w:val="28"/>
        </w:rPr>
        <w:t xml:space="preserve"> В результате чего, работы по текущему содержанию автомобильных дорог</w:t>
      </w:r>
      <w:r w:rsidR="0071763D">
        <w:rPr>
          <w:sz w:val="28"/>
          <w:szCs w:val="28"/>
        </w:rPr>
        <w:t xml:space="preserve"> </w:t>
      </w:r>
      <w:proofErr w:type="spellStart"/>
      <w:r w:rsidR="0071763D">
        <w:rPr>
          <w:sz w:val="28"/>
          <w:szCs w:val="28"/>
        </w:rPr>
        <w:t>Тайшетского</w:t>
      </w:r>
      <w:proofErr w:type="spellEnd"/>
      <w:r w:rsidR="0071763D">
        <w:rPr>
          <w:sz w:val="28"/>
          <w:szCs w:val="28"/>
        </w:rPr>
        <w:t xml:space="preserve"> городского поселения</w:t>
      </w:r>
      <w:r>
        <w:rPr>
          <w:sz w:val="28"/>
          <w:szCs w:val="28"/>
        </w:rPr>
        <w:t>, установленных в Муниципальном задании на 2021 год,  исполн</w:t>
      </w:r>
      <w:r w:rsidR="0071763D">
        <w:rPr>
          <w:sz w:val="28"/>
          <w:szCs w:val="28"/>
        </w:rPr>
        <w:t>ены</w:t>
      </w:r>
      <w:r>
        <w:rPr>
          <w:sz w:val="28"/>
          <w:szCs w:val="28"/>
        </w:rPr>
        <w:t xml:space="preserve">  </w:t>
      </w:r>
      <w:r w:rsidR="0081437D">
        <w:rPr>
          <w:sz w:val="28"/>
          <w:szCs w:val="28"/>
        </w:rPr>
        <w:t>не в полном объеме.</w:t>
      </w:r>
    </w:p>
    <w:p w:rsidR="0081437D" w:rsidRDefault="0081437D" w:rsidP="008D66FA">
      <w:pPr>
        <w:pStyle w:val="a3"/>
        <w:ind w:firstLine="284"/>
        <w:jc w:val="both"/>
        <w:rPr>
          <w:sz w:val="28"/>
          <w:szCs w:val="28"/>
        </w:rPr>
      </w:pPr>
      <w:r>
        <w:rPr>
          <w:sz w:val="28"/>
          <w:szCs w:val="28"/>
        </w:rPr>
        <w:t>Руководителю МБУ «Городское хозяйство» рекомендуется  принять меры о привлечении к дисциплинарной ответственности виновных лиц и обеспечить недопущение подобных ошибок в будущем.</w:t>
      </w:r>
    </w:p>
    <w:p w:rsidR="008D66FA" w:rsidRDefault="008D66FA" w:rsidP="009858D7">
      <w:pPr>
        <w:pStyle w:val="a3"/>
        <w:jc w:val="both"/>
        <w:rPr>
          <w:sz w:val="28"/>
          <w:szCs w:val="28"/>
        </w:rPr>
      </w:pPr>
    </w:p>
    <w:p w:rsidR="00394D37" w:rsidRDefault="00394D37" w:rsidP="009858D7">
      <w:pPr>
        <w:pStyle w:val="a3"/>
        <w:jc w:val="both"/>
        <w:rPr>
          <w:sz w:val="28"/>
          <w:szCs w:val="28"/>
        </w:rPr>
      </w:pPr>
    </w:p>
    <w:p w:rsidR="0071763D" w:rsidRDefault="0071763D" w:rsidP="009858D7">
      <w:pPr>
        <w:pStyle w:val="a3"/>
        <w:jc w:val="both"/>
        <w:rPr>
          <w:sz w:val="28"/>
          <w:szCs w:val="28"/>
        </w:rPr>
      </w:pPr>
    </w:p>
    <w:p w:rsidR="0081437D" w:rsidRDefault="0081437D" w:rsidP="009858D7">
      <w:pPr>
        <w:pStyle w:val="a3"/>
        <w:jc w:val="both"/>
        <w:rPr>
          <w:sz w:val="28"/>
          <w:szCs w:val="28"/>
        </w:rPr>
      </w:pPr>
    </w:p>
    <w:p w:rsidR="0081437D" w:rsidRDefault="0081437D" w:rsidP="009858D7">
      <w:pPr>
        <w:pStyle w:val="a3"/>
        <w:jc w:val="both"/>
        <w:rPr>
          <w:sz w:val="28"/>
          <w:szCs w:val="28"/>
        </w:rPr>
      </w:pPr>
    </w:p>
    <w:p w:rsidR="00394D37" w:rsidRPr="00394D37" w:rsidRDefault="00394D37" w:rsidP="00394D37">
      <w:pPr>
        <w:jc w:val="both"/>
        <w:rPr>
          <w:sz w:val="28"/>
          <w:szCs w:val="28"/>
        </w:rPr>
      </w:pPr>
      <w:r w:rsidRPr="00394D37">
        <w:rPr>
          <w:sz w:val="28"/>
          <w:szCs w:val="28"/>
        </w:rPr>
        <w:t>Председатель Контрольно-счетной палаты</w:t>
      </w:r>
    </w:p>
    <w:p w:rsidR="00394D37" w:rsidRPr="00394D37" w:rsidRDefault="00394D37" w:rsidP="00394D37">
      <w:pPr>
        <w:jc w:val="both"/>
        <w:rPr>
          <w:sz w:val="28"/>
          <w:szCs w:val="28"/>
        </w:rPr>
      </w:pPr>
      <w:proofErr w:type="spellStart"/>
      <w:r w:rsidRPr="00394D37">
        <w:rPr>
          <w:sz w:val="28"/>
          <w:szCs w:val="28"/>
        </w:rPr>
        <w:t>Тайшетского</w:t>
      </w:r>
      <w:proofErr w:type="spellEnd"/>
      <w:r w:rsidRPr="00394D37">
        <w:rPr>
          <w:sz w:val="28"/>
          <w:szCs w:val="28"/>
        </w:rPr>
        <w:t xml:space="preserve"> городского поселения</w:t>
      </w:r>
      <w:r w:rsidRPr="00394D37">
        <w:rPr>
          <w:sz w:val="28"/>
          <w:szCs w:val="28"/>
        </w:rPr>
        <w:tab/>
      </w:r>
      <w:r w:rsidRPr="00394D37">
        <w:rPr>
          <w:sz w:val="28"/>
          <w:szCs w:val="28"/>
        </w:rPr>
        <w:tab/>
      </w:r>
      <w:r>
        <w:rPr>
          <w:sz w:val="28"/>
          <w:szCs w:val="28"/>
        </w:rPr>
        <w:t xml:space="preserve">        </w:t>
      </w:r>
      <w:r w:rsidRPr="00394D37">
        <w:rPr>
          <w:sz w:val="28"/>
          <w:szCs w:val="28"/>
        </w:rPr>
        <w:tab/>
        <w:t xml:space="preserve">     </w:t>
      </w:r>
      <w:r>
        <w:rPr>
          <w:sz w:val="28"/>
          <w:szCs w:val="28"/>
        </w:rPr>
        <w:t xml:space="preserve">          </w:t>
      </w:r>
      <w:proofErr w:type="spellStart"/>
      <w:r w:rsidRPr="00394D37">
        <w:rPr>
          <w:sz w:val="28"/>
          <w:szCs w:val="28"/>
        </w:rPr>
        <w:t>Е.В.Богатырева</w:t>
      </w:r>
      <w:proofErr w:type="spellEnd"/>
    </w:p>
    <w:p w:rsidR="00394D37" w:rsidRPr="00394D37" w:rsidRDefault="00394D37" w:rsidP="009858D7">
      <w:pPr>
        <w:pStyle w:val="a3"/>
        <w:jc w:val="both"/>
        <w:rPr>
          <w:sz w:val="28"/>
          <w:szCs w:val="28"/>
        </w:rPr>
      </w:pPr>
    </w:p>
    <w:p w:rsidR="009858D7" w:rsidRPr="003E3662" w:rsidRDefault="009858D7" w:rsidP="009858D7">
      <w:pPr>
        <w:pStyle w:val="a3"/>
        <w:jc w:val="both"/>
        <w:rPr>
          <w:sz w:val="28"/>
          <w:szCs w:val="28"/>
        </w:rPr>
      </w:pPr>
    </w:p>
    <w:p w:rsidR="00B750DC" w:rsidRPr="003E3662" w:rsidRDefault="00B750DC">
      <w:pPr>
        <w:rPr>
          <w:sz w:val="28"/>
          <w:szCs w:val="28"/>
        </w:rPr>
      </w:pPr>
    </w:p>
    <w:p w:rsidR="003E3662" w:rsidRPr="003E3662" w:rsidRDefault="003E3662">
      <w:pPr>
        <w:rPr>
          <w:sz w:val="28"/>
          <w:szCs w:val="28"/>
        </w:rPr>
      </w:pPr>
    </w:p>
    <w:sectPr w:rsidR="003E3662" w:rsidRPr="003E36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927918"/>
    <w:multiLevelType w:val="hybridMultilevel"/>
    <w:tmpl w:val="B1743A1E"/>
    <w:lvl w:ilvl="0" w:tplc="56B28340">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6A686FD0"/>
    <w:multiLevelType w:val="hybridMultilevel"/>
    <w:tmpl w:val="037AA76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80E"/>
    <w:rsid w:val="0018380E"/>
    <w:rsid w:val="001E201A"/>
    <w:rsid w:val="00394D37"/>
    <w:rsid w:val="003E3662"/>
    <w:rsid w:val="0071763D"/>
    <w:rsid w:val="00767493"/>
    <w:rsid w:val="0081437D"/>
    <w:rsid w:val="00872855"/>
    <w:rsid w:val="008D66FA"/>
    <w:rsid w:val="009858D7"/>
    <w:rsid w:val="00B750DC"/>
    <w:rsid w:val="00E208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80E"/>
    <w:pPr>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9858D7"/>
    <w:pPr>
      <w:tabs>
        <w:tab w:val="center" w:pos="4677"/>
        <w:tab w:val="right" w:pos="9355"/>
      </w:tabs>
    </w:pPr>
    <w:rPr>
      <w:rFonts w:eastAsia="Times New Roman"/>
      <w:sz w:val="24"/>
      <w:szCs w:val="24"/>
    </w:rPr>
  </w:style>
  <w:style w:type="character" w:customStyle="1" w:styleId="a4">
    <w:name w:val="Нижний колонтитул Знак"/>
    <w:basedOn w:val="a0"/>
    <w:link w:val="a3"/>
    <w:rsid w:val="009858D7"/>
    <w:rPr>
      <w:rFonts w:ascii="Times New Roman" w:eastAsia="Times New Roman" w:hAnsi="Times New Roman" w:cs="Times New Roman"/>
      <w:sz w:val="24"/>
      <w:szCs w:val="24"/>
      <w:lang w:eastAsia="ru-RU"/>
    </w:rPr>
  </w:style>
  <w:style w:type="paragraph" w:styleId="a5">
    <w:name w:val="List Paragraph"/>
    <w:basedOn w:val="a"/>
    <w:uiPriority w:val="34"/>
    <w:qFormat/>
    <w:rsid w:val="009858D7"/>
    <w:pPr>
      <w:ind w:left="720"/>
      <w:contextualSpacing/>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80E"/>
    <w:pPr>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9858D7"/>
    <w:pPr>
      <w:tabs>
        <w:tab w:val="center" w:pos="4677"/>
        <w:tab w:val="right" w:pos="9355"/>
      </w:tabs>
    </w:pPr>
    <w:rPr>
      <w:rFonts w:eastAsia="Times New Roman"/>
      <w:sz w:val="24"/>
      <w:szCs w:val="24"/>
    </w:rPr>
  </w:style>
  <w:style w:type="character" w:customStyle="1" w:styleId="a4">
    <w:name w:val="Нижний колонтитул Знак"/>
    <w:basedOn w:val="a0"/>
    <w:link w:val="a3"/>
    <w:rsid w:val="009858D7"/>
    <w:rPr>
      <w:rFonts w:ascii="Times New Roman" w:eastAsia="Times New Roman" w:hAnsi="Times New Roman" w:cs="Times New Roman"/>
      <w:sz w:val="24"/>
      <w:szCs w:val="24"/>
      <w:lang w:eastAsia="ru-RU"/>
    </w:rPr>
  </w:style>
  <w:style w:type="paragraph" w:styleId="a5">
    <w:name w:val="List Paragraph"/>
    <w:basedOn w:val="a"/>
    <w:uiPriority w:val="34"/>
    <w:qFormat/>
    <w:rsid w:val="009858D7"/>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1534</TotalTime>
  <Pages>4</Pages>
  <Words>1226</Words>
  <Characters>6993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 Богатырева</dc:creator>
  <cp:lastModifiedBy>Елена В. Богатырева</cp:lastModifiedBy>
  <cp:revision>9</cp:revision>
  <cp:lastPrinted>2021-06-09T02:35:00Z</cp:lastPrinted>
  <dcterms:created xsi:type="dcterms:W3CDTF">2021-06-08T03:06:00Z</dcterms:created>
  <dcterms:modified xsi:type="dcterms:W3CDTF">2021-06-09T05:09:00Z</dcterms:modified>
</cp:coreProperties>
</file>